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548B687F"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w:t>
      </w:r>
      <w:r w:rsidR="001931FF">
        <w:rPr>
          <w:rFonts w:ascii="Arial" w:hAnsi="Arial" w:cs="Arial"/>
          <w:b/>
          <w:sz w:val="24"/>
          <w:lang w:val="en-US"/>
        </w:rPr>
        <w:t>4</w:t>
      </w:r>
      <w:r w:rsidRPr="00AA435B">
        <w:rPr>
          <w:rFonts w:ascii="Arial" w:hAnsi="Arial" w:cs="Arial"/>
          <w:b/>
          <w:sz w:val="24"/>
          <w:lang w:val="en-US"/>
        </w:rPr>
        <w:t xml:space="preserve"> Meeting #</w:t>
      </w:r>
      <w:r w:rsidR="001931FF">
        <w:rPr>
          <w:rFonts w:ascii="Arial" w:hAnsi="Arial" w:cs="Arial"/>
          <w:b/>
          <w:sz w:val="24"/>
          <w:lang w:val="en-US"/>
        </w:rPr>
        <w:t>103</w:t>
      </w:r>
      <w:r w:rsidRPr="00AA435B">
        <w:rPr>
          <w:rFonts w:ascii="Arial" w:hAnsi="Arial" w:cs="Arial"/>
          <w:b/>
          <w:sz w:val="24"/>
          <w:lang w:val="en-US"/>
        </w:rPr>
        <w:t>-e</w:t>
      </w:r>
      <w:r>
        <w:rPr>
          <w:rFonts w:ascii="Arial" w:hAnsi="Arial" w:cs="Arial"/>
          <w:b/>
          <w:sz w:val="24"/>
          <w:lang w:val="en-US"/>
        </w:rPr>
        <w:tab/>
      </w:r>
      <w:r w:rsidR="00D71A6D" w:rsidRPr="00D71A6D">
        <w:rPr>
          <w:rFonts w:ascii="Arial" w:hAnsi="Arial" w:cs="Arial"/>
          <w:b/>
          <w:sz w:val="24"/>
          <w:lang w:val="en-US"/>
        </w:rPr>
        <w:t>R4-2207927</w:t>
      </w:r>
      <w:r>
        <w:rPr>
          <w:rFonts w:ascii="Arial" w:hAnsi="Arial" w:cs="Arial"/>
          <w:b/>
          <w:sz w:val="24"/>
          <w:lang w:val="en-US"/>
        </w:rPr>
        <w:br/>
      </w:r>
      <w:bookmarkEnd w:id="0"/>
      <w:r w:rsidRPr="00AA435B">
        <w:rPr>
          <w:rFonts w:ascii="Arial" w:hAnsi="Arial" w:cs="Arial"/>
          <w:b/>
          <w:sz w:val="24"/>
        </w:rPr>
        <w:t xml:space="preserve">Electronic Meeting, </w:t>
      </w:r>
      <w:bookmarkStart w:id="3" w:name="_Hlk59524035"/>
      <w:r w:rsidR="00B83349">
        <w:rPr>
          <w:rFonts w:ascii="Arial" w:hAnsi="Arial" w:cs="Arial"/>
          <w:b/>
          <w:sz w:val="24"/>
        </w:rPr>
        <w:t>9</w:t>
      </w:r>
      <w:r w:rsidR="00B83349" w:rsidRPr="00277CF2">
        <w:rPr>
          <w:rFonts w:ascii="Arial" w:hAnsi="Arial" w:cs="Arial"/>
          <w:b/>
          <w:sz w:val="24"/>
          <w:vertAlign w:val="superscript"/>
        </w:rPr>
        <w:t>th</w:t>
      </w:r>
      <w:r w:rsidR="00B83349">
        <w:rPr>
          <w:rFonts w:ascii="Arial" w:hAnsi="Arial" w:cs="Arial"/>
          <w:b/>
          <w:sz w:val="24"/>
        </w:rPr>
        <w:t xml:space="preserve"> May </w:t>
      </w:r>
      <w:r w:rsidR="00B83349" w:rsidRPr="00166CFE">
        <w:rPr>
          <w:rFonts w:ascii="Arial" w:hAnsi="Arial" w:cs="Arial"/>
          <w:b/>
          <w:sz w:val="24"/>
        </w:rPr>
        <w:t xml:space="preserve">– </w:t>
      </w:r>
      <w:r w:rsidR="00B83349">
        <w:rPr>
          <w:rFonts w:ascii="Arial" w:hAnsi="Arial" w:cs="Arial"/>
          <w:b/>
          <w:sz w:val="24"/>
        </w:rPr>
        <w:t>20</w:t>
      </w:r>
      <w:r w:rsidR="00B83349" w:rsidRPr="00166CFE">
        <w:rPr>
          <w:rFonts w:ascii="Arial" w:hAnsi="Arial" w:cs="Arial"/>
          <w:b/>
          <w:sz w:val="24"/>
          <w:vertAlign w:val="superscript"/>
        </w:rPr>
        <w:t>th</w:t>
      </w:r>
      <w:r w:rsidR="00B83349" w:rsidRPr="00166CFE">
        <w:rPr>
          <w:rFonts w:ascii="Arial" w:hAnsi="Arial" w:cs="Arial"/>
          <w:b/>
          <w:sz w:val="24"/>
        </w:rPr>
        <w:t xml:space="preserve"> </w:t>
      </w:r>
      <w:r w:rsidR="00B83349">
        <w:rPr>
          <w:rFonts w:ascii="Arial" w:hAnsi="Arial" w:cs="Arial"/>
          <w:b/>
          <w:sz w:val="24"/>
        </w:rPr>
        <w:t>May</w:t>
      </w:r>
      <w:r w:rsidR="00B83349" w:rsidRPr="00166CFE">
        <w:rPr>
          <w:rFonts w:ascii="Arial" w:hAnsi="Arial" w:cs="Arial"/>
          <w:b/>
          <w:sz w:val="24"/>
        </w:rPr>
        <w:t xml:space="preserve"> </w:t>
      </w:r>
      <w:r w:rsidR="00FA3AE0" w:rsidRPr="00B83349">
        <w:rPr>
          <w:rFonts w:ascii="Arial" w:hAnsi="Arial" w:cs="Arial"/>
          <w:b/>
          <w:sz w:val="24"/>
        </w:rPr>
        <w:t>202</w:t>
      </w:r>
      <w:r w:rsidR="00B43FEC" w:rsidRPr="00B83349">
        <w:rPr>
          <w:rFonts w:ascii="Arial" w:hAnsi="Arial" w:cs="Arial"/>
          <w:b/>
          <w:sz w:val="24"/>
        </w:rPr>
        <w:t>2</w:t>
      </w:r>
      <w:bookmarkEnd w:id="3"/>
    </w:p>
    <w:p w14:paraId="35952387" w14:textId="77777777" w:rsidR="00816C9D" w:rsidRPr="00354167" w:rsidRDefault="00816C9D" w:rsidP="00816C9D">
      <w:pPr>
        <w:rPr>
          <w:rFonts w:ascii="Arial" w:hAnsi="Arial" w:cs="Arial"/>
          <w:b/>
          <w:sz w:val="24"/>
          <w:szCs w:val="24"/>
        </w:rPr>
      </w:pPr>
    </w:p>
    <w:p w14:paraId="35952388" w14:textId="2DA5867F"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D71A6D" w:rsidRPr="00D71A6D">
        <w:rPr>
          <w:rFonts w:ascii="Arial" w:hAnsi="Arial" w:cs="Arial"/>
          <w:sz w:val="24"/>
          <w:szCs w:val="24"/>
        </w:rPr>
        <w:t>11.1.2.1.</w:t>
      </w:r>
      <w:r w:rsidR="00D71A6D">
        <w:rPr>
          <w:rFonts w:ascii="Arial" w:hAnsi="Arial" w:cs="Arial"/>
          <w:sz w:val="24"/>
          <w:szCs w:val="24"/>
        </w:rPr>
        <w:t>3</w:t>
      </w:r>
    </w:p>
    <w:p w14:paraId="35952389" w14:textId="77777777"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347574" w:rsidRPr="00354167">
        <w:rPr>
          <w:rFonts w:ascii="Arial" w:hAnsi="Arial" w:cs="Arial"/>
          <w:sz w:val="24"/>
          <w:szCs w:val="24"/>
        </w:rPr>
        <w:t>Keysight Technologies</w:t>
      </w:r>
    </w:p>
    <w:p w14:paraId="3595238A" w14:textId="4273E991" w:rsidR="00816C9D" w:rsidRPr="00354167" w:rsidRDefault="00816C9D" w:rsidP="00816C9D">
      <w:pPr>
        <w:tabs>
          <w:tab w:val="left" w:pos="2250"/>
        </w:tabs>
        <w:ind w:left="2160" w:hanging="2160"/>
        <w:rPr>
          <w:rFonts w:ascii="Arial" w:hAnsi="Arial" w:cs="Arial"/>
          <w:b/>
          <w:sz w:val="24"/>
          <w:szCs w:val="24"/>
        </w:rPr>
      </w:pPr>
      <w:r w:rsidRPr="00354167">
        <w:rPr>
          <w:rFonts w:ascii="Arial" w:hAnsi="Arial" w:cs="Arial"/>
          <w:b/>
          <w:sz w:val="24"/>
          <w:szCs w:val="24"/>
        </w:rPr>
        <w:t>Title:</w:t>
      </w:r>
      <w:r w:rsidRPr="00354167">
        <w:rPr>
          <w:rFonts w:ascii="Arial" w:hAnsi="Arial" w:cs="Arial"/>
          <w:b/>
          <w:sz w:val="24"/>
          <w:szCs w:val="24"/>
        </w:rPr>
        <w:tab/>
      </w:r>
      <w:r w:rsidR="00CD26DE">
        <w:rPr>
          <w:rFonts w:ascii="Arial" w:hAnsi="Arial" w:cs="Arial"/>
          <w:sz w:val="24"/>
          <w:szCs w:val="24"/>
        </w:rPr>
        <w:t>On FR2-2 Measurement Grids</w:t>
      </w:r>
    </w:p>
    <w:p w14:paraId="3595238B" w14:textId="1C8824CD"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4665F1">
        <w:rPr>
          <w:rFonts w:ascii="Arial" w:hAnsi="Arial" w:cs="Arial"/>
          <w:sz w:val="24"/>
          <w:szCs w:val="24"/>
        </w:rPr>
        <w:t>Approval</w:t>
      </w:r>
    </w:p>
    <w:bookmarkEnd w:id="1"/>
    <w:p w14:paraId="79A676B7" w14:textId="77777777" w:rsidR="005E2166" w:rsidRDefault="005E2166" w:rsidP="005E2166">
      <w:pPr>
        <w:pStyle w:val="Heading1"/>
        <w:numPr>
          <w:ilvl w:val="0"/>
          <w:numId w:val="42"/>
        </w:numPr>
        <w:ind w:left="360"/>
      </w:pPr>
      <w:r w:rsidRPr="00647B25">
        <w:t>Introduction</w:t>
      </w:r>
    </w:p>
    <w:p w14:paraId="3595238D" w14:textId="6D447A10" w:rsidR="000606FD" w:rsidRPr="00354167" w:rsidRDefault="000833ED" w:rsidP="005E2166">
      <w:pPr>
        <w:rPr>
          <w:rFonts w:eastAsia="Batang"/>
        </w:rPr>
      </w:pPr>
      <w:r w:rsidRPr="00354167">
        <w:rPr>
          <w:rFonts w:eastAsia="Batang"/>
        </w:rPr>
        <w:t>This contribution</w:t>
      </w:r>
      <w:r w:rsidR="00CD26DE">
        <w:rPr>
          <w:rFonts w:eastAsia="Batang"/>
        </w:rPr>
        <w:t xml:space="preserve"> is presenting preliminary measurement grid simulation results for PC3 UEs and FR2-2, i.e., 52-6GHz-71GHz</w:t>
      </w:r>
      <w:r w:rsidR="006C2AF9" w:rsidRPr="00354167">
        <w:rPr>
          <w:rFonts w:eastAsia="Batang"/>
        </w:rPr>
        <w:t>.</w:t>
      </w:r>
    </w:p>
    <w:p w14:paraId="5FF73894" w14:textId="77777777" w:rsidR="00C42EBF" w:rsidRDefault="00C42EBF" w:rsidP="00C42EBF">
      <w:pPr>
        <w:pStyle w:val="Heading1"/>
        <w:numPr>
          <w:ilvl w:val="0"/>
          <w:numId w:val="42"/>
        </w:numPr>
        <w:ind w:left="360"/>
      </w:pPr>
      <w:bookmarkStart w:id="4" w:name="_Ref31104997"/>
      <w:r>
        <w:t>Discussion</w:t>
      </w:r>
    </w:p>
    <w:p w14:paraId="43F5797D" w14:textId="744C0338" w:rsidR="00F46E30" w:rsidRDefault="00295DB6" w:rsidP="00C42EBF">
      <w:r>
        <w:t>The work on FR2-2 measurement grids was pending the definition of the worst-case antenna assumptions, as outlined previously, e.g., as recent as</w:t>
      </w:r>
      <w:r w:rsidR="00C42EBF">
        <w:t xml:space="preserve"> </w:t>
      </w:r>
      <w:r>
        <w:fldChar w:fldCharType="begin"/>
      </w:r>
      <w:r>
        <w:instrText xml:space="preserve"> REF _Ref101181888 \r \h </w:instrText>
      </w:r>
      <w:r>
        <w:fldChar w:fldCharType="separate"/>
      </w:r>
      <w:r w:rsidR="003B639F">
        <w:t>[1]</w:t>
      </w:r>
      <w:r>
        <w:fldChar w:fldCharType="end"/>
      </w:r>
      <w:r>
        <w:t xml:space="preserve">. Fortunately, most antenna assumptions were agreed in the last two meetings’ WF </w:t>
      </w:r>
      <w:r>
        <w:fldChar w:fldCharType="begin"/>
      </w:r>
      <w:r>
        <w:instrText xml:space="preserve"> REF _Ref101182057 \r \h </w:instrText>
      </w:r>
      <w:r>
        <w:fldChar w:fldCharType="separate"/>
      </w:r>
      <w:r w:rsidR="003B639F">
        <w:t>[2]</w:t>
      </w:r>
      <w:r>
        <w:fldChar w:fldCharType="end"/>
      </w:r>
      <w:r w:rsidR="009C4CD4">
        <w:fldChar w:fldCharType="begin"/>
      </w:r>
      <w:r w:rsidR="009C4CD4">
        <w:instrText xml:space="preserve"> REF _Ref101182379 \r \h </w:instrText>
      </w:r>
      <w:r w:rsidR="009C4CD4">
        <w:fldChar w:fldCharType="separate"/>
      </w:r>
      <w:r w:rsidR="003B639F">
        <w:t>[3]</w:t>
      </w:r>
      <w:r w:rsidR="009C4CD4">
        <w:fldChar w:fldCharType="end"/>
      </w:r>
      <w:r>
        <w:t xml:space="preserve"> albeit in [], i.e., </w:t>
      </w:r>
    </w:p>
    <w:tbl>
      <w:tblPr>
        <w:tblStyle w:val="TableGrid"/>
        <w:tblW w:w="0" w:type="auto"/>
        <w:tblLook w:val="04A0" w:firstRow="1" w:lastRow="0" w:firstColumn="1" w:lastColumn="0" w:noHBand="0" w:noVBand="1"/>
      </w:tblPr>
      <w:tblGrid>
        <w:gridCol w:w="9631"/>
      </w:tblGrid>
      <w:tr w:rsidR="00295DB6" w14:paraId="38F87A34" w14:textId="77777777" w:rsidTr="00295DB6">
        <w:tc>
          <w:tcPr>
            <w:tcW w:w="9631" w:type="dxa"/>
          </w:tcPr>
          <w:p w14:paraId="2F74DDDB" w14:textId="08171F5F" w:rsidR="00295DB6" w:rsidRPr="003C3553" w:rsidRDefault="00295DB6" w:rsidP="00295DB6">
            <w:pPr>
              <w:spacing w:before="120"/>
              <w:jc w:val="both"/>
              <w:rPr>
                <w:rFonts w:eastAsiaTheme="minorEastAsia"/>
                <w:b/>
                <w:bCs/>
                <w:iCs/>
                <w:highlight w:val="green"/>
                <w:lang w:val="en-US" w:eastAsia="zh-CN"/>
              </w:rPr>
            </w:pPr>
            <w:r w:rsidRPr="003C3553">
              <w:rPr>
                <w:rFonts w:eastAsiaTheme="minorEastAsia"/>
                <w:b/>
                <w:bCs/>
                <w:iCs/>
                <w:highlight w:val="green"/>
                <w:lang w:val="en-US" w:eastAsia="zh-CN"/>
              </w:rPr>
              <w:t>Agreement</w:t>
            </w:r>
            <w:r>
              <w:rPr>
                <w:rFonts w:eastAsiaTheme="minorEastAsia"/>
                <w:b/>
                <w:bCs/>
                <w:iCs/>
                <w:highlight w:val="green"/>
                <w:lang w:val="en-US" w:eastAsia="zh-CN"/>
              </w:rPr>
              <w:t xml:space="preserve"> (RAN4#102-e)</w:t>
            </w:r>
            <w:r w:rsidRPr="003C3553">
              <w:rPr>
                <w:rFonts w:eastAsiaTheme="minorEastAsia"/>
                <w:b/>
                <w:bCs/>
                <w:iCs/>
                <w:highlight w:val="green"/>
                <w:lang w:val="en-US" w:eastAsia="zh-CN"/>
              </w:rPr>
              <w:t>:</w:t>
            </w:r>
          </w:p>
          <w:p w14:paraId="316FF78C" w14:textId="77777777" w:rsidR="00295DB6" w:rsidRPr="00471D64" w:rsidRDefault="00295DB6" w:rsidP="00295DB6">
            <w:pPr>
              <w:pStyle w:val="ListParagraph"/>
              <w:numPr>
                <w:ilvl w:val="0"/>
                <w:numId w:val="44"/>
              </w:numPr>
              <w:overflowPunct w:val="0"/>
              <w:autoSpaceDE w:val="0"/>
              <w:autoSpaceDN w:val="0"/>
              <w:adjustRightInd w:val="0"/>
              <w:spacing w:after="120" w:line="240" w:lineRule="auto"/>
              <w:contextualSpacing w:val="0"/>
              <w:textAlignment w:val="baseline"/>
              <w:rPr>
                <w:rFonts w:eastAsiaTheme="minorEastAsia"/>
                <w:iCs/>
                <w:lang w:eastAsia="zh-CN"/>
              </w:rPr>
            </w:pPr>
            <w:r w:rsidRPr="00471D64">
              <w:rPr>
                <w:rFonts w:eastAsiaTheme="minorEastAsia"/>
                <w:iCs/>
                <w:lang w:eastAsia="zh-CN"/>
              </w:rPr>
              <w:t>Single UE antenna element pattern parameters can be reused as Table G.1.1-1 in TR38.810, with below exceptions:</w:t>
            </w:r>
          </w:p>
          <w:p w14:paraId="2F78794C" w14:textId="77777777" w:rsidR="00295DB6" w:rsidRPr="00471D64" w:rsidRDefault="00295DB6" w:rsidP="00295DB6">
            <w:pPr>
              <w:pStyle w:val="ListParagraph"/>
              <w:numPr>
                <w:ilvl w:val="1"/>
                <w:numId w:val="44"/>
              </w:numPr>
              <w:overflowPunct w:val="0"/>
              <w:autoSpaceDE w:val="0"/>
              <w:autoSpaceDN w:val="0"/>
              <w:adjustRightInd w:val="0"/>
              <w:spacing w:before="120" w:after="120" w:line="240" w:lineRule="auto"/>
              <w:contextualSpacing w:val="0"/>
              <w:textAlignment w:val="baseline"/>
              <w:rPr>
                <w:rFonts w:eastAsiaTheme="minorEastAsia"/>
                <w:iCs/>
                <w:lang w:eastAsia="zh-CN"/>
              </w:rPr>
            </w:pPr>
            <w:r w:rsidRPr="00471D64">
              <w:rPr>
                <w:rFonts w:eastAsiaTheme="minorEastAsia"/>
                <w:iCs/>
                <w:lang w:eastAsia="zh-CN"/>
              </w:rPr>
              <w:t xml:space="preserve">half-power beamwidth: </w:t>
            </w:r>
            <w:r w:rsidRPr="00471D64">
              <w:rPr>
                <w:rFonts w:eastAsiaTheme="minorEastAsia"/>
                <w:lang w:eastAsia="zh-CN"/>
              </w:rPr>
              <w:t xml:space="preserve">[80º/60º] as starting point </w:t>
            </w:r>
          </w:p>
          <w:p w14:paraId="3BD21E5E" w14:textId="77777777" w:rsidR="00295DB6" w:rsidRPr="00471D64" w:rsidRDefault="00295DB6" w:rsidP="00295DB6">
            <w:pPr>
              <w:pStyle w:val="ListParagraph"/>
              <w:numPr>
                <w:ilvl w:val="1"/>
                <w:numId w:val="44"/>
              </w:numPr>
              <w:overflowPunct w:val="0"/>
              <w:autoSpaceDE w:val="0"/>
              <w:autoSpaceDN w:val="0"/>
              <w:adjustRightInd w:val="0"/>
              <w:spacing w:before="120" w:after="120" w:line="240" w:lineRule="auto"/>
              <w:contextualSpacing w:val="0"/>
              <w:textAlignment w:val="baseline"/>
              <w:rPr>
                <w:rFonts w:eastAsiaTheme="minorEastAsia"/>
                <w:iCs/>
                <w:lang w:eastAsia="zh-CN"/>
              </w:rPr>
            </w:pPr>
            <w:r w:rsidRPr="00471D64">
              <w:rPr>
                <w:rFonts w:eastAsiaTheme="minorEastAsia"/>
                <w:iCs/>
                <w:lang w:eastAsia="zh-CN"/>
              </w:rPr>
              <w:t>Gain: [5dBi]</w:t>
            </w:r>
          </w:p>
          <w:p w14:paraId="68BA4CB1" w14:textId="5529FDB0" w:rsidR="00295DB6" w:rsidRPr="004414F9" w:rsidRDefault="00295DB6" w:rsidP="00295DB6">
            <w:pPr>
              <w:spacing w:before="120"/>
              <w:jc w:val="both"/>
              <w:rPr>
                <w:rFonts w:eastAsiaTheme="minorEastAsia"/>
                <w:iCs/>
                <w:lang w:val="en-US" w:eastAsia="zh-CN"/>
              </w:rPr>
            </w:pPr>
            <w:r>
              <w:rPr>
                <w:b/>
                <w:bCs/>
                <w:highlight w:val="green"/>
                <w:lang w:val="en-US" w:eastAsia="zh-CN"/>
              </w:rPr>
              <w:t>A</w:t>
            </w:r>
            <w:r w:rsidRPr="009F4CF0">
              <w:rPr>
                <w:b/>
                <w:bCs/>
                <w:highlight w:val="green"/>
                <w:lang w:val="en-US" w:eastAsia="zh-CN"/>
              </w:rPr>
              <w:t>greement</w:t>
            </w:r>
            <w:r>
              <w:rPr>
                <w:b/>
                <w:bCs/>
                <w:highlight w:val="green"/>
                <w:lang w:val="en-US" w:eastAsia="zh-CN"/>
              </w:rPr>
              <w:t xml:space="preserve"> </w:t>
            </w:r>
            <w:r>
              <w:rPr>
                <w:rFonts w:eastAsiaTheme="minorEastAsia"/>
                <w:b/>
                <w:bCs/>
                <w:iCs/>
                <w:highlight w:val="green"/>
                <w:lang w:val="en-US" w:eastAsia="zh-CN"/>
              </w:rPr>
              <w:t>(RAN4#102-e)</w:t>
            </w:r>
            <w:r w:rsidRPr="003C3553">
              <w:rPr>
                <w:rFonts w:eastAsiaTheme="minorEastAsia"/>
                <w:b/>
                <w:bCs/>
                <w:iCs/>
                <w:highlight w:val="green"/>
                <w:lang w:val="en-US" w:eastAsia="zh-CN"/>
              </w:rPr>
              <w:t>:</w:t>
            </w:r>
            <w:r w:rsidRPr="003C3553">
              <w:rPr>
                <w:lang w:val="en-US" w:eastAsia="zh-CN"/>
              </w:rPr>
              <w:t xml:space="preserve"> </w:t>
            </w:r>
            <w:r w:rsidRPr="003C3553">
              <w:rPr>
                <w:rFonts w:eastAsiaTheme="minorEastAsia"/>
                <w:iCs/>
                <w:lang w:val="en-US" w:eastAsia="zh-CN"/>
              </w:rPr>
              <w:t>Reuse the beam steering assumptions in TR38.810 for PC3</w:t>
            </w:r>
          </w:p>
          <w:p w14:paraId="0324E1D6" w14:textId="46F62373" w:rsidR="00295DB6" w:rsidRDefault="00295DB6" w:rsidP="00C42EBF">
            <w:r w:rsidRPr="00E57D4E">
              <w:rPr>
                <w:b/>
                <w:bCs/>
                <w:iCs/>
                <w:highlight w:val="green"/>
              </w:rPr>
              <w:t>Agreement</w:t>
            </w:r>
            <w:r>
              <w:rPr>
                <w:b/>
                <w:bCs/>
                <w:iCs/>
                <w:highlight w:val="green"/>
              </w:rPr>
              <w:t xml:space="preserve"> </w:t>
            </w:r>
            <w:r>
              <w:rPr>
                <w:rFonts w:eastAsiaTheme="minorEastAsia"/>
                <w:b/>
                <w:bCs/>
                <w:iCs/>
                <w:highlight w:val="green"/>
                <w:lang w:val="en-US" w:eastAsia="zh-CN"/>
              </w:rPr>
              <w:t>(RAN4#101-bis-e)</w:t>
            </w:r>
            <w:r w:rsidRPr="003C3553">
              <w:rPr>
                <w:rFonts w:eastAsiaTheme="minorEastAsia"/>
                <w:b/>
                <w:bCs/>
                <w:iCs/>
                <w:highlight w:val="green"/>
                <w:lang w:val="en-US" w:eastAsia="zh-CN"/>
              </w:rPr>
              <w:t>:</w:t>
            </w:r>
            <w:r>
              <w:rPr>
                <w:iCs/>
              </w:rPr>
              <w:t xml:space="preserve"> The w</w:t>
            </w:r>
            <w:r w:rsidRPr="00C07970">
              <w:rPr>
                <w:iCs/>
              </w:rPr>
              <w:t xml:space="preserve">orst-case antenna assumption for testability and MU </w:t>
            </w:r>
            <w:r>
              <w:rPr>
                <w:iCs/>
              </w:rPr>
              <w:t>assessment of handheld UEs in FR2-2 is [</w:t>
            </w:r>
            <w:r>
              <w:rPr>
                <w:rFonts w:eastAsiaTheme="minorEastAsia"/>
                <w:iCs/>
                <w:lang w:val="en-US" w:eastAsia="zh-CN"/>
              </w:rPr>
              <w:t>8 x2].</w:t>
            </w:r>
          </w:p>
        </w:tc>
      </w:tr>
    </w:tbl>
    <w:p w14:paraId="6D29AF3A" w14:textId="372A0F01" w:rsidR="00295DB6" w:rsidRDefault="00B250F9" w:rsidP="00C42EBF">
      <w:r>
        <w:t xml:space="preserve">Measurement grid simulations similar to those introduced in </w:t>
      </w:r>
      <w:r>
        <w:fldChar w:fldCharType="begin"/>
      </w:r>
      <w:r>
        <w:instrText xml:space="preserve"> REF _Ref101184241 \r \h </w:instrText>
      </w:r>
      <w:r>
        <w:fldChar w:fldCharType="separate"/>
      </w:r>
      <w:r w:rsidR="003B639F">
        <w:t>[4]</w:t>
      </w:r>
      <w:r>
        <w:fldChar w:fldCharType="end"/>
      </w:r>
      <w:r>
        <w:t xml:space="preserve"> and </w:t>
      </w:r>
      <w:r>
        <w:fldChar w:fldCharType="begin"/>
      </w:r>
      <w:r>
        <w:instrText xml:space="preserve"> REF _Ref101184475 \r \h </w:instrText>
      </w:r>
      <w:r>
        <w:fldChar w:fldCharType="separate"/>
      </w:r>
      <w:r w:rsidR="003B639F">
        <w:t>[5]</w:t>
      </w:r>
      <w:r>
        <w:fldChar w:fldCharType="end"/>
      </w:r>
      <w:r>
        <w:t xml:space="preserve"> were performed based on the above antenna assumptions for PC3 UEs. Instead of presenting the results for each of the simulations performed, the final conclusion is presented below and compared directly with </w:t>
      </w:r>
      <w:r w:rsidR="0019763D">
        <w:t xml:space="preserve">the measurement grid requirements from </w:t>
      </w:r>
      <w:r w:rsidR="0019763D">
        <w:fldChar w:fldCharType="begin"/>
      </w:r>
      <w:r w:rsidR="0019763D">
        <w:instrText xml:space="preserve"> REF _Ref101184475 \r \h </w:instrText>
      </w:r>
      <w:r w:rsidR="0019763D">
        <w:fldChar w:fldCharType="separate"/>
      </w:r>
      <w:r w:rsidR="003B639F">
        <w:t>[5]</w:t>
      </w:r>
      <w:r w:rsidR="0019763D">
        <w:fldChar w:fldCharType="end"/>
      </w:r>
      <w:r w:rsidR="0019763D">
        <w:t>.</w:t>
      </w:r>
    </w:p>
    <w:p w14:paraId="789E63D6" w14:textId="6C08B680" w:rsidR="007A272B" w:rsidRDefault="007A272B" w:rsidP="00C42EBF">
      <w:r>
        <w:t xml:space="preserve">If the UE antenna assumptions can be confirmed, it is proposed to include the measurement grid assumptions in </w:t>
      </w:r>
      <w:r w:rsidR="008C37C0">
        <w:fldChar w:fldCharType="begin"/>
      </w:r>
      <w:r w:rsidR="008C37C0">
        <w:instrText xml:space="preserve"> REF _Ref101771927 \r \h </w:instrText>
      </w:r>
      <w:r w:rsidR="008C37C0">
        <w:fldChar w:fldCharType="separate"/>
      </w:r>
      <w:r w:rsidR="003B639F">
        <w:t>[6]</w:t>
      </w:r>
      <w:r w:rsidR="008C37C0">
        <w:fldChar w:fldCharType="end"/>
      </w:r>
      <w:r w:rsidR="008C37C0">
        <w:t>.</w:t>
      </w:r>
    </w:p>
    <w:p w14:paraId="378D9200" w14:textId="129D94A5" w:rsidR="008C37C0" w:rsidRDefault="008C37C0" w:rsidP="008C37C0">
      <w:pPr>
        <w:pStyle w:val="Caption"/>
      </w:pPr>
      <w:bookmarkStart w:id="5" w:name="_Ref101772196"/>
      <w:r>
        <w:t xml:space="preserve">Proposal </w:t>
      </w:r>
      <w:r>
        <w:fldChar w:fldCharType="begin"/>
      </w:r>
      <w:r>
        <w:instrText xml:space="preserve"> SEQ Proposal \* ARABIC </w:instrText>
      </w:r>
      <w:r>
        <w:fldChar w:fldCharType="separate"/>
      </w:r>
      <w:r w:rsidR="003B639F">
        <w:rPr>
          <w:noProof/>
        </w:rPr>
        <w:t>1</w:t>
      </w:r>
      <w:r>
        <w:fldChar w:fldCharType="end"/>
      </w:r>
      <w:r>
        <w:t xml:space="preserve">: </w:t>
      </w:r>
      <w:r>
        <w:t xml:space="preserve">If the UE antenna assumptions can be confirmed, include the measurement grid assumptions in </w:t>
      </w:r>
      <w:r>
        <w:fldChar w:fldCharType="begin"/>
      </w:r>
      <w:r>
        <w:instrText xml:space="preserve"> REF _Ref101771927 \r \h </w:instrText>
      </w:r>
      <w:r>
        <w:fldChar w:fldCharType="separate"/>
      </w:r>
      <w:r w:rsidR="003B639F">
        <w:t>[6]</w:t>
      </w:r>
      <w:r>
        <w:fldChar w:fldCharType="end"/>
      </w:r>
      <w:r w:rsidR="00243D4F">
        <w:t>.</w:t>
      </w:r>
      <w:bookmarkEnd w:id="5"/>
    </w:p>
    <w:p w14:paraId="1390A921" w14:textId="7BD884D3" w:rsidR="0019763D" w:rsidRDefault="0019763D" w:rsidP="0019763D">
      <w:pPr>
        <w:pStyle w:val="Heading1"/>
        <w:numPr>
          <w:ilvl w:val="0"/>
          <w:numId w:val="42"/>
        </w:numPr>
        <w:ind w:left="360"/>
      </w:pPr>
      <w:r>
        <w:t>Beam Peak Search Grid</w:t>
      </w:r>
      <w:r w:rsidR="003A6034">
        <w:t xml:space="preserve"> (PC3)</w:t>
      </w:r>
    </w:p>
    <w:p w14:paraId="66346DC5" w14:textId="31109EAC" w:rsidR="0019763D" w:rsidRDefault="0019763D" w:rsidP="00C42EBF">
      <w:r>
        <w:t xml:space="preserve">The simulation results for the beam peak search grid for PC3 UEs and FR2-2 are compared with the requirements for PC3 UEs and FR2-1 in </w:t>
      </w:r>
      <w:r w:rsidR="00F3792F">
        <w:fldChar w:fldCharType="begin"/>
      </w:r>
      <w:r w:rsidR="00F3792F">
        <w:instrText xml:space="preserve"> REF _Ref101187824 \h </w:instrText>
      </w:r>
      <w:r w:rsidR="00F3792F">
        <w:fldChar w:fldCharType="separate"/>
      </w:r>
      <w:r w:rsidR="003B639F">
        <w:t xml:space="preserve">Table </w:t>
      </w:r>
      <w:r w:rsidR="003B639F">
        <w:rPr>
          <w:noProof/>
        </w:rPr>
        <w:t>1</w:t>
      </w:r>
      <w:r w:rsidR="00F3792F">
        <w:fldChar w:fldCharType="end"/>
      </w:r>
      <w:r w:rsidR="00F3792F">
        <w:t xml:space="preserve">. </w:t>
      </w:r>
    </w:p>
    <w:p w14:paraId="5CC69E02" w14:textId="732832F0" w:rsidR="00F3792F" w:rsidRDefault="00F3792F" w:rsidP="00F3792F">
      <w:pPr>
        <w:pStyle w:val="Caption"/>
        <w:jc w:val="center"/>
      </w:pPr>
      <w:bookmarkStart w:id="6" w:name="_Ref101187824"/>
      <w:r>
        <w:t xml:space="preserve">Table </w:t>
      </w:r>
      <w:r>
        <w:fldChar w:fldCharType="begin"/>
      </w:r>
      <w:r>
        <w:instrText xml:space="preserve"> SEQ Table \* ARABIC </w:instrText>
      </w:r>
      <w:r>
        <w:fldChar w:fldCharType="separate"/>
      </w:r>
      <w:r w:rsidR="003B639F">
        <w:rPr>
          <w:noProof/>
        </w:rPr>
        <w:t>1</w:t>
      </w:r>
      <w:r>
        <w:fldChar w:fldCharType="end"/>
      </w:r>
      <w:bookmarkEnd w:id="6"/>
      <w:r>
        <w:t xml:space="preserve">: </w:t>
      </w:r>
      <w:r w:rsidR="006D4EC6">
        <w:t xml:space="preserve">Comparison of </w:t>
      </w:r>
      <w:r>
        <w:t xml:space="preserve">Beam Peak Search Grid </w:t>
      </w:r>
      <w:r w:rsidR="006D4EC6">
        <w:t>Results</w:t>
      </w:r>
      <w:r>
        <w:t xml:space="preserve"> for FR2-1 and FR2-2</w:t>
      </w:r>
    </w:p>
    <w:tbl>
      <w:tblPr>
        <w:tblStyle w:val="TableGrid"/>
        <w:tblW w:w="0" w:type="auto"/>
        <w:tblLook w:val="04A0" w:firstRow="1" w:lastRow="0" w:firstColumn="1" w:lastColumn="0" w:noHBand="0" w:noVBand="1"/>
      </w:tblPr>
      <w:tblGrid>
        <w:gridCol w:w="1975"/>
        <w:gridCol w:w="3828"/>
        <w:gridCol w:w="3828"/>
      </w:tblGrid>
      <w:tr w:rsidR="0019763D" w14:paraId="0E9A1FC7" w14:textId="77777777" w:rsidTr="00F3792F">
        <w:tc>
          <w:tcPr>
            <w:tcW w:w="1975" w:type="dxa"/>
          </w:tcPr>
          <w:p w14:paraId="09845EDD" w14:textId="24851AA1" w:rsidR="0019763D" w:rsidRDefault="0019763D" w:rsidP="00C42EBF"/>
        </w:tc>
        <w:tc>
          <w:tcPr>
            <w:tcW w:w="3828" w:type="dxa"/>
          </w:tcPr>
          <w:p w14:paraId="3637F3CA" w14:textId="7C819CD6" w:rsidR="0019763D" w:rsidRPr="00F3792F" w:rsidRDefault="0019763D" w:rsidP="00C42EBF">
            <w:pPr>
              <w:rPr>
                <w:b/>
                <w:bCs/>
              </w:rPr>
            </w:pPr>
            <w:r w:rsidRPr="00F3792F">
              <w:rPr>
                <w:b/>
                <w:bCs/>
              </w:rPr>
              <w:t xml:space="preserve">FR2-1 </w:t>
            </w:r>
            <w:r w:rsidR="00F3792F">
              <w:rPr>
                <w:b/>
                <w:bCs/>
              </w:rPr>
              <w:t>(</w:t>
            </w:r>
            <w:r w:rsidRPr="00F3792F">
              <w:rPr>
                <w:b/>
                <w:bCs/>
              </w:rPr>
              <w:t xml:space="preserve">as defined in TS38-521-2 </w:t>
            </w:r>
            <w:r w:rsidRPr="00F3792F">
              <w:rPr>
                <w:b/>
                <w:bCs/>
              </w:rPr>
              <w:fldChar w:fldCharType="begin"/>
            </w:r>
            <w:r w:rsidRPr="00F3792F">
              <w:rPr>
                <w:b/>
                <w:bCs/>
              </w:rPr>
              <w:instrText xml:space="preserve"> REF _Ref101184475 \r \h  \* MERGEFORMAT </w:instrText>
            </w:r>
            <w:r w:rsidRPr="00F3792F">
              <w:rPr>
                <w:b/>
                <w:bCs/>
              </w:rPr>
            </w:r>
            <w:r w:rsidRPr="00F3792F">
              <w:rPr>
                <w:b/>
                <w:bCs/>
              </w:rPr>
              <w:fldChar w:fldCharType="separate"/>
            </w:r>
            <w:r w:rsidR="003B639F">
              <w:rPr>
                <w:b/>
                <w:bCs/>
              </w:rPr>
              <w:t>[5]</w:t>
            </w:r>
            <w:r w:rsidRPr="00F3792F">
              <w:rPr>
                <w:b/>
                <w:bCs/>
              </w:rPr>
              <w:fldChar w:fldCharType="end"/>
            </w:r>
            <w:r w:rsidR="00F3792F">
              <w:rPr>
                <w:b/>
                <w:bCs/>
              </w:rPr>
              <w:t>)</w:t>
            </w:r>
          </w:p>
        </w:tc>
        <w:tc>
          <w:tcPr>
            <w:tcW w:w="3828" w:type="dxa"/>
          </w:tcPr>
          <w:p w14:paraId="1B906C5E" w14:textId="71601612" w:rsidR="0019763D" w:rsidRPr="00F3792F" w:rsidRDefault="0019763D" w:rsidP="00C42EBF">
            <w:pPr>
              <w:rPr>
                <w:b/>
                <w:bCs/>
              </w:rPr>
            </w:pPr>
            <w:r w:rsidRPr="00F3792F">
              <w:rPr>
                <w:b/>
                <w:bCs/>
              </w:rPr>
              <w:t>FR2-2</w:t>
            </w:r>
          </w:p>
        </w:tc>
      </w:tr>
      <w:tr w:rsidR="00F3792F" w14:paraId="7B50CD7D" w14:textId="77777777" w:rsidTr="00F3792F">
        <w:tc>
          <w:tcPr>
            <w:tcW w:w="1975" w:type="dxa"/>
          </w:tcPr>
          <w:p w14:paraId="78A9B31C" w14:textId="3B0D762E" w:rsidR="00F3792F" w:rsidRPr="00F3792F" w:rsidRDefault="00F3792F" w:rsidP="00C42EBF">
            <w:pPr>
              <w:rPr>
                <w:b/>
                <w:bCs/>
              </w:rPr>
            </w:pPr>
            <w:r w:rsidRPr="00F3792F">
              <w:rPr>
                <w:b/>
                <w:bCs/>
              </w:rPr>
              <w:t>HPBW</w:t>
            </w:r>
          </w:p>
        </w:tc>
        <w:tc>
          <w:tcPr>
            <w:tcW w:w="3828" w:type="dxa"/>
          </w:tcPr>
          <w:p w14:paraId="21493661" w14:textId="22022FFF" w:rsidR="00F3792F" w:rsidRDefault="00F3792F" w:rsidP="00C42EBF">
            <w:r>
              <w:t>230</w:t>
            </w:r>
            <w:r w:rsidRPr="00F3792F">
              <w:rPr>
                <w:vertAlign w:val="superscript"/>
              </w:rPr>
              <w:t>o</w:t>
            </w:r>
            <w:r>
              <w:t>/130</w:t>
            </w:r>
            <w:r w:rsidRPr="00F3792F">
              <w:rPr>
                <w:vertAlign w:val="superscript"/>
              </w:rPr>
              <w:t>o</w:t>
            </w:r>
          </w:p>
        </w:tc>
        <w:tc>
          <w:tcPr>
            <w:tcW w:w="3828" w:type="dxa"/>
          </w:tcPr>
          <w:p w14:paraId="10B7EECC" w14:textId="279E85AE" w:rsidR="00F3792F" w:rsidRDefault="00F3792F" w:rsidP="00C42EBF">
            <w:r>
              <w:t>80</w:t>
            </w:r>
            <w:r w:rsidRPr="00F3792F">
              <w:rPr>
                <w:vertAlign w:val="superscript"/>
              </w:rPr>
              <w:t>o</w:t>
            </w:r>
            <w:r>
              <w:t>/60</w:t>
            </w:r>
            <w:r w:rsidRPr="00F3792F">
              <w:rPr>
                <w:vertAlign w:val="superscript"/>
              </w:rPr>
              <w:t>o</w:t>
            </w:r>
          </w:p>
        </w:tc>
      </w:tr>
      <w:tr w:rsidR="003A6034" w14:paraId="132DF9C6" w14:textId="77777777" w:rsidTr="00F3792F">
        <w:tc>
          <w:tcPr>
            <w:tcW w:w="1975" w:type="dxa"/>
          </w:tcPr>
          <w:p w14:paraId="19B8C2BB" w14:textId="3895A76B" w:rsidR="003A6034" w:rsidRPr="00F3792F" w:rsidRDefault="003A6034" w:rsidP="00C42EBF">
            <w:pPr>
              <w:rPr>
                <w:b/>
                <w:bCs/>
              </w:rPr>
            </w:pPr>
            <w:r>
              <w:rPr>
                <w:b/>
                <w:bCs/>
              </w:rPr>
              <w:lastRenderedPageBreak/>
              <w:t>MU Impact</w:t>
            </w:r>
          </w:p>
        </w:tc>
        <w:tc>
          <w:tcPr>
            <w:tcW w:w="3828" w:type="dxa"/>
          </w:tcPr>
          <w:p w14:paraId="60133894" w14:textId="410030A9" w:rsidR="003A6034" w:rsidRPr="003A6034" w:rsidRDefault="003A6034" w:rsidP="00C42EBF">
            <w:r w:rsidRPr="003A6034">
              <w:t>0.5dB Systematic Error of ‘Beam Peak Search’: Offset from Beam Peak at which CDF is 5%</w:t>
            </w:r>
          </w:p>
        </w:tc>
        <w:tc>
          <w:tcPr>
            <w:tcW w:w="3828" w:type="dxa"/>
          </w:tcPr>
          <w:p w14:paraId="5C6E6BE4" w14:textId="75B111A6" w:rsidR="003A6034" w:rsidRPr="003A6034" w:rsidRDefault="003A6034" w:rsidP="00C42EBF">
            <w:r w:rsidRPr="003A6034">
              <w:t>0.5dB Systematic Error of ‘Beam Peak Search’: Offset from Beam Peak at which CDF is 5%</w:t>
            </w:r>
          </w:p>
        </w:tc>
      </w:tr>
      <w:tr w:rsidR="0019763D" w14:paraId="119BE21B" w14:textId="77777777" w:rsidTr="00F3792F">
        <w:tc>
          <w:tcPr>
            <w:tcW w:w="1975" w:type="dxa"/>
          </w:tcPr>
          <w:p w14:paraId="49C1CFA9" w14:textId="57295CDC" w:rsidR="0019763D" w:rsidRPr="00F3792F" w:rsidRDefault="003A6034" w:rsidP="00C42EBF">
            <w:pPr>
              <w:rPr>
                <w:b/>
                <w:bCs/>
              </w:rPr>
            </w:pPr>
            <w:r>
              <w:rPr>
                <w:b/>
                <w:bCs/>
              </w:rPr>
              <w:t>Text Excerpt</w:t>
            </w:r>
          </w:p>
        </w:tc>
        <w:tc>
          <w:tcPr>
            <w:tcW w:w="3828" w:type="dxa"/>
          </w:tcPr>
          <w:p w14:paraId="2B487358" w14:textId="21C7F22C" w:rsidR="0019763D" w:rsidRDefault="0019763D" w:rsidP="00C42EBF">
            <w:r>
              <w:t>In order to make a reasonable trade-off between measurement uncertainties, at least 800(constant density grid with charged particle implementation) or 1106 (constant step size grid) measurement grid points shall be used for beam peak search procedures.</w:t>
            </w:r>
          </w:p>
        </w:tc>
        <w:tc>
          <w:tcPr>
            <w:tcW w:w="3828" w:type="dxa"/>
          </w:tcPr>
          <w:p w14:paraId="157DAE7E" w14:textId="60C1A552" w:rsidR="0019763D" w:rsidRDefault="00E70327" w:rsidP="00C42EBF">
            <w:r>
              <w:t xml:space="preserve">In order to make a reasonable trade-off between measurement uncertainties, at least </w:t>
            </w:r>
            <w:r w:rsidR="00F3792F" w:rsidRPr="00F3792F">
              <w:rPr>
                <w:highlight w:val="yellow"/>
              </w:rPr>
              <w:t>950</w:t>
            </w:r>
            <w:r w:rsidR="00F3792F">
              <w:t xml:space="preserve"> </w:t>
            </w:r>
            <w:r>
              <w:t xml:space="preserve">(constant density grid with charged particle implementation) or </w:t>
            </w:r>
            <w:r w:rsidR="00F3792F" w:rsidRPr="00F3792F">
              <w:rPr>
                <w:highlight w:val="yellow"/>
              </w:rPr>
              <w:t>1302</w:t>
            </w:r>
            <w:r>
              <w:t xml:space="preserve"> (constant step size grid</w:t>
            </w:r>
            <w:r w:rsidR="00F3792F">
              <w:t xml:space="preserve"> </w:t>
            </w:r>
            <w:r w:rsidR="00F3792F" w:rsidRPr="00B62023">
              <w:rPr>
                <w:highlight w:val="yellow"/>
              </w:rPr>
              <w:t xml:space="preserve">with </w:t>
            </w:r>
            <w:r w:rsidR="00F3792F" w:rsidRPr="00B62023">
              <w:rPr>
                <w:rFonts w:ascii="Symbol" w:hAnsi="Symbol"/>
                <w:highlight w:val="yellow"/>
              </w:rPr>
              <w:t>D</w:t>
            </w:r>
            <w:r w:rsidR="00F3792F" w:rsidRPr="00F3792F">
              <w:rPr>
                <w:rFonts w:ascii="Symbol" w:hAnsi="Symbol"/>
                <w:highlight w:val="yellow"/>
              </w:rPr>
              <w:t>f</w:t>
            </w:r>
            <w:r w:rsidR="00F3792F" w:rsidRPr="00F3792F">
              <w:rPr>
                <w:highlight w:val="yellow"/>
              </w:rPr>
              <w:t>=</w:t>
            </w:r>
            <w:r w:rsidR="00F3792F" w:rsidRPr="00F3792F">
              <w:rPr>
                <w:rFonts w:ascii="Symbol" w:hAnsi="Symbol"/>
                <w:highlight w:val="yellow"/>
              </w:rPr>
              <w:t>Dq</w:t>
            </w:r>
            <w:r w:rsidR="00F3792F" w:rsidRPr="00F3792F">
              <w:rPr>
                <w:highlight w:val="yellow"/>
              </w:rPr>
              <w:t>=6.9</w:t>
            </w:r>
            <w:r w:rsidR="00F3792F" w:rsidRPr="00F3792F">
              <w:rPr>
                <w:highlight w:val="yellow"/>
                <w:vertAlign w:val="superscript"/>
              </w:rPr>
              <w:t>o</w:t>
            </w:r>
            <w:r>
              <w:t>) measurement grid points shall be used for beam peak search procedures.</w:t>
            </w:r>
          </w:p>
        </w:tc>
      </w:tr>
    </w:tbl>
    <w:p w14:paraId="2526652C" w14:textId="202C1A12" w:rsidR="00980BEB" w:rsidRDefault="00980BEB" w:rsidP="00980BEB">
      <w:pPr>
        <w:pStyle w:val="Caption"/>
      </w:pPr>
      <w:bookmarkStart w:id="7" w:name="_Ref101772193"/>
      <w:r>
        <w:t xml:space="preserve">Observation </w:t>
      </w:r>
      <w:r>
        <w:fldChar w:fldCharType="begin"/>
      </w:r>
      <w:r>
        <w:instrText xml:space="preserve"> SEQ Observation \* ARABIC </w:instrText>
      </w:r>
      <w:r>
        <w:fldChar w:fldCharType="separate"/>
      </w:r>
      <w:r w:rsidR="003B639F">
        <w:rPr>
          <w:noProof/>
        </w:rPr>
        <w:t>1</w:t>
      </w:r>
      <w:r>
        <w:fldChar w:fldCharType="end"/>
      </w:r>
      <w:r>
        <w:t>: A slight increase in measurement grid points for the beam peak search can be observed for FR2-2 when compared to FR2-1.</w:t>
      </w:r>
      <w:bookmarkEnd w:id="7"/>
      <w:r>
        <w:t xml:space="preserve"> </w:t>
      </w:r>
    </w:p>
    <w:p w14:paraId="00FFB4FF" w14:textId="7365D843" w:rsidR="003A6034" w:rsidRDefault="003A6034" w:rsidP="003A6034">
      <w:pPr>
        <w:pStyle w:val="Heading1"/>
        <w:numPr>
          <w:ilvl w:val="0"/>
          <w:numId w:val="42"/>
        </w:numPr>
        <w:ind w:left="360"/>
      </w:pPr>
      <w:r>
        <w:t>Spherical Coverage Grid (PC3)</w:t>
      </w:r>
    </w:p>
    <w:p w14:paraId="6CCF5CCC" w14:textId="786EEC11" w:rsidR="003A6034" w:rsidRDefault="003A6034" w:rsidP="003A6034">
      <w:r>
        <w:t xml:space="preserve">The simulation results for the </w:t>
      </w:r>
      <w:r w:rsidR="009F74F4">
        <w:t>spherical coverage</w:t>
      </w:r>
      <w:r>
        <w:t xml:space="preserve"> grid for PC3 UEs and FR2-2 are compared with the requirements for PC3 UEs and FR2-1 in </w:t>
      </w:r>
      <w:r w:rsidR="00B62023">
        <w:fldChar w:fldCharType="begin"/>
      </w:r>
      <w:r w:rsidR="00B62023">
        <w:instrText xml:space="preserve"> REF _Ref101188568 \h </w:instrText>
      </w:r>
      <w:r w:rsidR="00B62023">
        <w:fldChar w:fldCharType="separate"/>
      </w:r>
      <w:r w:rsidR="003B639F">
        <w:t xml:space="preserve">Table </w:t>
      </w:r>
      <w:r w:rsidR="003B639F">
        <w:rPr>
          <w:noProof/>
        </w:rPr>
        <w:t>2</w:t>
      </w:r>
      <w:r w:rsidR="00B62023">
        <w:fldChar w:fldCharType="end"/>
      </w:r>
      <w:r>
        <w:t xml:space="preserve">. </w:t>
      </w:r>
    </w:p>
    <w:p w14:paraId="6A27E6DC" w14:textId="2CAFBEAF" w:rsidR="003A6034" w:rsidRDefault="003A6034" w:rsidP="003A6034">
      <w:pPr>
        <w:pStyle w:val="Caption"/>
        <w:jc w:val="center"/>
      </w:pPr>
      <w:bookmarkStart w:id="8" w:name="_Ref101188568"/>
      <w:r>
        <w:t xml:space="preserve">Table </w:t>
      </w:r>
      <w:r>
        <w:fldChar w:fldCharType="begin"/>
      </w:r>
      <w:r>
        <w:instrText xml:space="preserve"> SEQ Table \* ARABIC </w:instrText>
      </w:r>
      <w:r>
        <w:fldChar w:fldCharType="separate"/>
      </w:r>
      <w:r w:rsidR="003B639F">
        <w:rPr>
          <w:noProof/>
        </w:rPr>
        <w:t>2</w:t>
      </w:r>
      <w:r>
        <w:fldChar w:fldCharType="end"/>
      </w:r>
      <w:bookmarkEnd w:id="8"/>
      <w:r>
        <w:t xml:space="preserve">: Comparison of </w:t>
      </w:r>
      <w:r w:rsidR="00B62023">
        <w:t>Spherical Coverage</w:t>
      </w:r>
      <w:r>
        <w:t xml:space="preserve"> Results for FR2-1 and FR2-2</w:t>
      </w:r>
    </w:p>
    <w:tbl>
      <w:tblPr>
        <w:tblStyle w:val="TableGrid"/>
        <w:tblW w:w="0" w:type="auto"/>
        <w:tblLook w:val="04A0" w:firstRow="1" w:lastRow="0" w:firstColumn="1" w:lastColumn="0" w:noHBand="0" w:noVBand="1"/>
      </w:tblPr>
      <w:tblGrid>
        <w:gridCol w:w="1975"/>
        <w:gridCol w:w="3828"/>
        <w:gridCol w:w="3828"/>
      </w:tblGrid>
      <w:tr w:rsidR="003A6034" w14:paraId="358E0ABE" w14:textId="77777777" w:rsidTr="00A25850">
        <w:tc>
          <w:tcPr>
            <w:tcW w:w="1975" w:type="dxa"/>
          </w:tcPr>
          <w:p w14:paraId="17D068C1" w14:textId="77777777" w:rsidR="003A6034" w:rsidRDefault="003A6034" w:rsidP="00A25850"/>
        </w:tc>
        <w:tc>
          <w:tcPr>
            <w:tcW w:w="3828" w:type="dxa"/>
          </w:tcPr>
          <w:p w14:paraId="314F7DFE" w14:textId="5F87F885" w:rsidR="003A6034" w:rsidRPr="00F3792F" w:rsidRDefault="003A6034" w:rsidP="00A25850">
            <w:pPr>
              <w:rPr>
                <w:b/>
                <w:bCs/>
              </w:rPr>
            </w:pPr>
            <w:r w:rsidRPr="00F3792F">
              <w:rPr>
                <w:b/>
                <w:bCs/>
              </w:rPr>
              <w:t xml:space="preserve">FR2-1 </w:t>
            </w:r>
            <w:r>
              <w:rPr>
                <w:b/>
                <w:bCs/>
              </w:rPr>
              <w:t>(</w:t>
            </w:r>
            <w:r w:rsidRPr="00F3792F">
              <w:rPr>
                <w:b/>
                <w:bCs/>
              </w:rPr>
              <w:t xml:space="preserve">as defined in TS38-521-2 </w:t>
            </w:r>
            <w:r w:rsidRPr="00F3792F">
              <w:rPr>
                <w:b/>
                <w:bCs/>
              </w:rPr>
              <w:fldChar w:fldCharType="begin"/>
            </w:r>
            <w:r w:rsidRPr="00F3792F">
              <w:rPr>
                <w:b/>
                <w:bCs/>
              </w:rPr>
              <w:instrText xml:space="preserve"> REF _Ref101184475 \r \h  \* MERGEFORMAT </w:instrText>
            </w:r>
            <w:r w:rsidRPr="00F3792F">
              <w:rPr>
                <w:b/>
                <w:bCs/>
              </w:rPr>
            </w:r>
            <w:r w:rsidRPr="00F3792F">
              <w:rPr>
                <w:b/>
                <w:bCs/>
              </w:rPr>
              <w:fldChar w:fldCharType="separate"/>
            </w:r>
            <w:r w:rsidR="003B639F">
              <w:rPr>
                <w:b/>
                <w:bCs/>
              </w:rPr>
              <w:t>[5]</w:t>
            </w:r>
            <w:r w:rsidRPr="00F3792F">
              <w:rPr>
                <w:b/>
                <w:bCs/>
              </w:rPr>
              <w:fldChar w:fldCharType="end"/>
            </w:r>
            <w:r>
              <w:rPr>
                <w:b/>
                <w:bCs/>
              </w:rPr>
              <w:t>)</w:t>
            </w:r>
          </w:p>
        </w:tc>
        <w:tc>
          <w:tcPr>
            <w:tcW w:w="3828" w:type="dxa"/>
          </w:tcPr>
          <w:p w14:paraId="51A156DC" w14:textId="77777777" w:rsidR="003A6034" w:rsidRPr="00F3792F" w:rsidRDefault="003A6034" w:rsidP="00A25850">
            <w:pPr>
              <w:rPr>
                <w:b/>
                <w:bCs/>
              </w:rPr>
            </w:pPr>
            <w:r w:rsidRPr="00F3792F">
              <w:rPr>
                <w:b/>
                <w:bCs/>
              </w:rPr>
              <w:t>FR2-2</w:t>
            </w:r>
          </w:p>
        </w:tc>
      </w:tr>
      <w:tr w:rsidR="003A6034" w14:paraId="676E443F" w14:textId="77777777" w:rsidTr="00A25850">
        <w:tc>
          <w:tcPr>
            <w:tcW w:w="1975" w:type="dxa"/>
          </w:tcPr>
          <w:p w14:paraId="253EE62E" w14:textId="77777777" w:rsidR="003A6034" w:rsidRPr="00F3792F" w:rsidRDefault="003A6034" w:rsidP="00A25850">
            <w:pPr>
              <w:rPr>
                <w:b/>
                <w:bCs/>
              </w:rPr>
            </w:pPr>
            <w:r w:rsidRPr="00F3792F">
              <w:rPr>
                <w:b/>
                <w:bCs/>
              </w:rPr>
              <w:t>HPBW</w:t>
            </w:r>
          </w:p>
        </w:tc>
        <w:tc>
          <w:tcPr>
            <w:tcW w:w="3828" w:type="dxa"/>
          </w:tcPr>
          <w:p w14:paraId="79112D4D" w14:textId="77777777" w:rsidR="003A6034" w:rsidRDefault="003A6034" w:rsidP="00A25850">
            <w:r>
              <w:t>230</w:t>
            </w:r>
            <w:r w:rsidRPr="00F3792F">
              <w:rPr>
                <w:vertAlign w:val="superscript"/>
              </w:rPr>
              <w:t>o</w:t>
            </w:r>
            <w:r>
              <w:t>/130</w:t>
            </w:r>
            <w:r w:rsidRPr="00F3792F">
              <w:rPr>
                <w:vertAlign w:val="superscript"/>
              </w:rPr>
              <w:t>o</w:t>
            </w:r>
          </w:p>
        </w:tc>
        <w:tc>
          <w:tcPr>
            <w:tcW w:w="3828" w:type="dxa"/>
          </w:tcPr>
          <w:p w14:paraId="2303E4D3" w14:textId="77777777" w:rsidR="003A6034" w:rsidRDefault="003A6034" w:rsidP="00A25850">
            <w:r>
              <w:t>80</w:t>
            </w:r>
            <w:r w:rsidRPr="00F3792F">
              <w:rPr>
                <w:vertAlign w:val="superscript"/>
              </w:rPr>
              <w:t>o</w:t>
            </w:r>
            <w:r>
              <w:t>/60</w:t>
            </w:r>
            <w:r w:rsidRPr="00F3792F">
              <w:rPr>
                <w:vertAlign w:val="superscript"/>
              </w:rPr>
              <w:t>o</w:t>
            </w:r>
          </w:p>
        </w:tc>
      </w:tr>
      <w:tr w:rsidR="003A6034" w14:paraId="78E951F9" w14:textId="77777777" w:rsidTr="00A25850">
        <w:tc>
          <w:tcPr>
            <w:tcW w:w="1975" w:type="dxa"/>
          </w:tcPr>
          <w:p w14:paraId="70444459" w14:textId="6CE81A26" w:rsidR="003A6034" w:rsidRDefault="003A6034" w:rsidP="003A6034">
            <w:pPr>
              <w:rPr>
                <w:b/>
                <w:bCs/>
              </w:rPr>
            </w:pPr>
            <w:r>
              <w:rPr>
                <w:b/>
                <w:bCs/>
              </w:rPr>
              <w:t>MU Impact</w:t>
            </w:r>
          </w:p>
        </w:tc>
        <w:tc>
          <w:tcPr>
            <w:tcW w:w="3828" w:type="dxa"/>
          </w:tcPr>
          <w:p w14:paraId="05FF01C6" w14:textId="4CE7BD7D" w:rsidR="003A6034" w:rsidRPr="003A6034" w:rsidRDefault="003A6034" w:rsidP="003A6034">
            <w:r>
              <w:t>Standard Deviation of 0.11dB/0.12dB (constant density/constant-step size)</w:t>
            </w:r>
          </w:p>
        </w:tc>
        <w:tc>
          <w:tcPr>
            <w:tcW w:w="3828" w:type="dxa"/>
          </w:tcPr>
          <w:p w14:paraId="22F3AAB9" w14:textId="7F28EFB6" w:rsidR="003A6034" w:rsidRDefault="003A6034" w:rsidP="003A6034">
            <w:r>
              <w:t xml:space="preserve">Standard Deviation of </w:t>
            </w:r>
            <w:r w:rsidRPr="003A6034">
              <w:rPr>
                <w:highlight w:val="yellow"/>
              </w:rPr>
              <w:t>0.25</w:t>
            </w:r>
            <w:r>
              <w:t>dB</w:t>
            </w:r>
          </w:p>
        </w:tc>
      </w:tr>
      <w:tr w:rsidR="003A6034" w14:paraId="37CAE8FA" w14:textId="77777777" w:rsidTr="00A25850">
        <w:tc>
          <w:tcPr>
            <w:tcW w:w="1975" w:type="dxa"/>
          </w:tcPr>
          <w:p w14:paraId="0C3D1DAD" w14:textId="6C5C20AF" w:rsidR="003A6034" w:rsidRPr="00F3792F" w:rsidRDefault="003A6034" w:rsidP="003A6034">
            <w:pPr>
              <w:rPr>
                <w:b/>
                <w:bCs/>
              </w:rPr>
            </w:pPr>
            <w:r>
              <w:rPr>
                <w:b/>
                <w:bCs/>
              </w:rPr>
              <w:t>Text Excerpt</w:t>
            </w:r>
          </w:p>
        </w:tc>
        <w:tc>
          <w:tcPr>
            <w:tcW w:w="3828" w:type="dxa"/>
          </w:tcPr>
          <w:p w14:paraId="1FA821D5" w14:textId="2830C310" w:rsidR="003A6034" w:rsidRDefault="00B62023" w:rsidP="003A6034">
            <w:r>
              <w:t>In order to make a reasonable trade-off between measurement uncertainties, at least 200 (constant density grid with charged particle implementation) or 266 (constant step size grid) measurement grid points shall be used for EIRP spherical coverage procedure.</w:t>
            </w:r>
          </w:p>
        </w:tc>
        <w:tc>
          <w:tcPr>
            <w:tcW w:w="3828" w:type="dxa"/>
          </w:tcPr>
          <w:p w14:paraId="1026B3C3" w14:textId="4DA9C74F" w:rsidR="003A6034" w:rsidRDefault="00B62023" w:rsidP="003A6034">
            <w:r>
              <w:t xml:space="preserve">In order to make a reasonable trade-off between measurement uncertainties, at least </w:t>
            </w:r>
            <w:r w:rsidRPr="00B62023">
              <w:rPr>
                <w:highlight w:val="yellow"/>
              </w:rPr>
              <w:t>190</w:t>
            </w:r>
            <w:r>
              <w:t xml:space="preserve"> (constant density grid with charged particle implementation) or 266 (constant step size grid</w:t>
            </w:r>
            <w:r w:rsidRPr="00B62023">
              <w:rPr>
                <w:highlight w:val="yellow"/>
              </w:rPr>
              <w:t xml:space="preserve"> with </w:t>
            </w:r>
            <w:r w:rsidRPr="00B62023">
              <w:rPr>
                <w:rFonts w:ascii="Symbol" w:hAnsi="Symbol"/>
                <w:highlight w:val="yellow"/>
              </w:rPr>
              <w:t>D</w:t>
            </w:r>
            <w:r w:rsidRPr="00F3792F">
              <w:rPr>
                <w:rFonts w:ascii="Symbol" w:hAnsi="Symbol"/>
                <w:highlight w:val="yellow"/>
              </w:rPr>
              <w:t>f</w:t>
            </w:r>
            <w:r w:rsidRPr="00F3792F">
              <w:rPr>
                <w:highlight w:val="yellow"/>
              </w:rPr>
              <w:t>=</w:t>
            </w:r>
            <w:r w:rsidRPr="00F3792F">
              <w:rPr>
                <w:rFonts w:ascii="Symbol" w:hAnsi="Symbol"/>
                <w:highlight w:val="yellow"/>
              </w:rPr>
              <w:t>Dq</w:t>
            </w:r>
            <w:r w:rsidRPr="00F3792F">
              <w:rPr>
                <w:highlight w:val="yellow"/>
              </w:rPr>
              <w:t>=</w:t>
            </w:r>
            <w:r>
              <w:rPr>
                <w:highlight w:val="yellow"/>
              </w:rPr>
              <w:t>15</w:t>
            </w:r>
            <w:r w:rsidRPr="00F3792F">
              <w:rPr>
                <w:highlight w:val="yellow"/>
                <w:vertAlign w:val="superscript"/>
              </w:rPr>
              <w:t>o</w:t>
            </w:r>
            <w:r>
              <w:t>) measurement grid points shall be used for EIRP spherical coverage procedure.</w:t>
            </w:r>
          </w:p>
        </w:tc>
      </w:tr>
    </w:tbl>
    <w:p w14:paraId="5E8B989B" w14:textId="5ABE384A" w:rsidR="00980BEB" w:rsidRDefault="00980BEB" w:rsidP="00980BEB">
      <w:pPr>
        <w:pStyle w:val="Caption"/>
      </w:pPr>
      <w:bookmarkStart w:id="9" w:name="_Ref101772194"/>
      <w:r>
        <w:t xml:space="preserve">Observation </w:t>
      </w:r>
      <w:r>
        <w:fldChar w:fldCharType="begin"/>
      </w:r>
      <w:r>
        <w:instrText xml:space="preserve"> SEQ Observation \* ARABIC </w:instrText>
      </w:r>
      <w:r>
        <w:fldChar w:fldCharType="separate"/>
      </w:r>
      <w:r w:rsidR="003B639F">
        <w:rPr>
          <w:noProof/>
        </w:rPr>
        <w:t>2</w:t>
      </w:r>
      <w:r>
        <w:fldChar w:fldCharType="end"/>
      </w:r>
      <w:r>
        <w:t xml:space="preserve">: A slight increase in measurement grid points for the </w:t>
      </w:r>
      <w:r>
        <w:t>spherical coverage test</w:t>
      </w:r>
      <w:r>
        <w:t xml:space="preserve"> can be observed for FR2-2 when compared to FR2-1</w:t>
      </w:r>
      <w:r>
        <w:t xml:space="preserve"> with a slight increase in MU</w:t>
      </w:r>
      <w:r>
        <w:t>.</w:t>
      </w:r>
      <w:bookmarkEnd w:id="9"/>
      <w:r>
        <w:t xml:space="preserve"> </w:t>
      </w:r>
    </w:p>
    <w:p w14:paraId="73979B70" w14:textId="122CCC6C" w:rsidR="000A08B0" w:rsidRDefault="000A08B0" w:rsidP="000A08B0">
      <w:pPr>
        <w:pStyle w:val="Heading1"/>
        <w:numPr>
          <w:ilvl w:val="0"/>
          <w:numId w:val="42"/>
        </w:numPr>
        <w:ind w:left="360"/>
      </w:pPr>
      <w:r>
        <w:t>TRP Grid (PC3)</w:t>
      </w:r>
    </w:p>
    <w:p w14:paraId="1A33174B" w14:textId="2FD9B0BD" w:rsidR="000A08B0" w:rsidRDefault="000A08B0" w:rsidP="000A08B0">
      <w:r>
        <w:t xml:space="preserve">The simulation results for the </w:t>
      </w:r>
      <w:r w:rsidR="000C47D0">
        <w:t>TRP</w:t>
      </w:r>
      <w:r>
        <w:t xml:space="preserve"> grid for PC3 UEs and FR2-2 are compared with the requirements for PC3 UEs and FR2-1 in </w:t>
      </w:r>
      <w:r w:rsidR="000C47D0">
        <w:fldChar w:fldCharType="begin"/>
      </w:r>
      <w:r w:rsidR="000C47D0">
        <w:instrText xml:space="preserve"> REF _Ref101191562 \h </w:instrText>
      </w:r>
      <w:r w:rsidR="000C47D0">
        <w:fldChar w:fldCharType="separate"/>
      </w:r>
      <w:r w:rsidR="003B639F">
        <w:t xml:space="preserve">Table </w:t>
      </w:r>
      <w:r w:rsidR="003B639F">
        <w:rPr>
          <w:noProof/>
        </w:rPr>
        <w:t>3</w:t>
      </w:r>
      <w:r w:rsidR="000C47D0">
        <w:fldChar w:fldCharType="end"/>
      </w:r>
      <w:r>
        <w:t xml:space="preserve">. </w:t>
      </w:r>
    </w:p>
    <w:p w14:paraId="3511589C" w14:textId="6F8479D4" w:rsidR="000A08B0" w:rsidRDefault="000A08B0" w:rsidP="000A08B0">
      <w:pPr>
        <w:pStyle w:val="Caption"/>
        <w:jc w:val="center"/>
      </w:pPr>
      <w:bookmarkStart w:id="10" w:name="_Ref101191562"/>
      <w:r>
        <w:t xml:space="preserve">Table </w:t>
      </w:r>
      <w:r>
        <w:fldChar w:fldCharType="begin"/>
      </w:r>
      <w:r>
        <w:instrText xml:space="preserve"> SEQ Table \* ARABIC </w:instrText>
      </w:r>
      <w:r>
        <w:fldChar w:fldCharType="separate"/>
      </w:r>
      <w:r w:rsidR="003B639F">
        <w:rPr>
          <w:noProof/>
        </w:rPr>
        <w:t>3</w:t>
      </w:r>
      <w:r>
        <w:fldChar w:fldCharType="end"/>
      </w:r>
      <w:bookmarkEnd w:id="10"/>
      <w:r>
        <w:t xml:space="preserve">: Comparison of </w:t>
      </w:r>
      <w:r w:rsidR="000C47D0">
        <w:t>TRP</w:t>
      </w:r>
      <w:r>
        <w:t xml:space="preserve"> Results for FR2-1 and FR2-2</w:t>
      </w:r>
    </w:p>
    <w:tbl>
      <w:tblPr>
        <w:tblStyle w:val="TableGrid"/>
        <w:tblW w:w="0" w:type="auto"/>
        <w:tblLook w:val="04A0" w:firstRow="1" w:lastRow="0" w:firstColumn="1" w:lastColumn="0" w:noHBand="0" w:noVBand="1"/>
      </w:tblPr>
      <w:tblGrid>
        <w:gridCol w:w="1975"/>
        <w:gridCol w:w="3828"/>
        <w:gridCol w:w="3828"/>
      </w:tblGrid>
      <w:tr w:rsidR="000A08B0" w14:paraId="089E2326" w14:textId="77777777" w:rsidTr="00A25850">
        <w:tc>
          <w:tcPr>
            <w:tcW w:w="1975" w:type="dxa"/>
          </w:tcPr>
          <w:p w14:paraId="758133A2" w14:textId="77777777" w:rsidR="000A08B0" w:rsidRDefault="000A08B0" w:rsidP="00A25850"/>
        </w:tc>
        <w:tc>
          <w:tcPr>
            <w:tcW w:w="3828" w:type="dxa"/>
          </w:tcPr>
          <w:p w14:paraId="78A6BB52" w14:textId="267C3B6F" w:rsidR="000A08B0" w:rsidRPr="00F3792F" w:rsidRDefault="000A08B0" w:rsidP="00A25850">
            <w:pPr>
              <w:rPr>
                <w:b/>
                <w:bCs/>
              </w:rPr>
            </w:pPr>
            <w:r w:rsidRPr="00F3792F">
              <w:rPr>
                <w:b/>
                <w:bCs/>
              </w:rPr>
              <w:t xml:space="preserve">FR2-1 </w:t>
            </w:r>
            <w:r>
              <w:rPr>
                <w:b/>
                <w:bCs/>
              </w:rPr>
              <w:t>(</w:t>
            </w:r>
            <w:r w:rsidRPr="00F3792F">
              <w:rPr>
                <w:b/>
                <w:bCs/>
              </w:rPr>
              <w:t xml:space="preserve">as defined in TS38-521-2 </w:t>
            </w:r>
            <w:r w:rsidRPr="00F3792F">
              <w:rPr>
                <w:b/>
                <w:bCs/>
              </w:rPr>
              <w:fldChar w:fldCharType="begin"/>
            </w:r>
            <w:r w:rsidRPr="00F3792F">
              <w:rPr>
                <w:b/>
                <w:bCs/>
              </w:rPr>
              <w:instrText xml:space="preserve"> REF _Ref101184475 \r \h  \* MERGEFORMAT </w:instrText>
            </w:r>
            <w:r w:rsidRPr="00F3792F">
              <w:rPr>
                <w:b/>
                <w:bCs/>
              </w:rPr>
            </w:r>
            <w:r w:rsidRPr="00F3792F">
              <w:rPr>
                <w:b/>
                <w:bCs/>
              </w:rPr>
              <w:fldChar w:fldCharType="separate"/>
            </w:r>
            <w:r w:rsidR="003B639F">
              <w:rPr>
                <w:b/>
                <w:bCs/>
              </w:rPr>
              <w:t>[5]</w:t>
            </w:r>
            <w:r w:rsidRPr="00F3792F">
              <w:rPr>
                <w:b/>
                <w:bCs/>
              </w:rPr>
              <w:fldChar w:fldCharType="end"/>
            </w:r>
            <w:r>
              <w:rPr>
                <w:b/>
                <w:bCs/>
              </w:rPr>
              <w:t>)</w:t>
            </w:r>
          </w:p>
        </w:tc>
        <w:tc>
          <w:tcPr>
            <w:tcW w:w="3828" w:type="dxa"/>
          </w:tcPr>
          <w:p w14:paraId="2F6D212A" w14:textId="77777777" w:rsidR="000A08B0" w:rsidRPr="00F3792F" w:rsidRDefault="000A08B0" w:rsidP="00A25850">
            <w:pPr>
              <w:rPr>
                <w:b/>
                <w:bCs/>
              </w:rPr>
            </w:pPr>
            <w:r w:rsidRPr="00F3792F">
              <w:rPr>
                <w:b/>
                <w:bCs/>
              </w:rPr>
              <w:t>FR2-2</w:t>
            </w:r>
          </w:p>
        </w:tc>
      </w:tr>
      <w:tr w:rsidR="000A08B0" w14:paraId="4D91FB46" w14:textId="77777777" w:rsidTr="00A25850">
        <w:tc>
          <w:tcPr>
            <w:tcW w:w="1975" w:type="dxa"/>
          </w:tcPr>
          <w:p w14:paraId="35B728F2" w14:textId="77777777" w:rsidR="000A08B0" w:rsidRPr="00F3792F" w:rsidRDefault="000A08B0" w:rsidP="00A25850">
            <w:pPr>
              <w:rPr>
                <w:b/>
                <w:bCs/>
              </w:rPr>
            </w:pPr>
            <w:r w:rsidRPr="00F3792F">
              <w:rPr>
                <w:b/>
                <w:bCs/>
              </w:rPr>
              <w:t>HPBW</w:t>
            </w:r>
          </w:p>
        </w:tc>
        <w:tc>
          <w:tcPr>
            <w:tcW w:w="3828" w:type="dxa"/>
          </w:tcPr>
          <w:p w14:paraId="4EAA91F9" w14:textId="77777777" w:rsidR="000A08B0" w:rsidRDefault="000A08B0" w:rsidP="00A25850">
            <w:r>
              <w:t>230</w:t>
            </w:r>
            <w:r w:rsidRPr="00F3792F">
              <w:rPr>
                <w:vertAlign w:val="superscript"/>
              </w:rPr>
              <w:t>o</w:t>
            </w:r>
            <w:r>
              <w:t>/130</w:t>
            </w:r>
            <w:r w:rsidRPr="00F3792F">
              <w:rPr>
                <w:vertAlign w:val="superscript"/>
              </w:rPr>
              <w:t>o</w:t>
            </w:r>
          </w:p>
        </w:tc>
        <w:tc>
          <w:tcPr>
            <w:tcW w:w="3828" w:type="dxa"/>
          </w:tcPr>
          <w:p w14:paraId="00AED0EE" w14:textId="77777777" w:rsidR="000A08B0" w:rsidRDefault="000A08B0" w:rsidP="00A25850">
            <w:r>
              <w:t>80</w:t>
            </w:r>
            <w:r w:rsidRPr="00F3792F">
              <w:rPr>
                <w:vertAlign w:val="superscript"/>
              </w:rPr>
              <w:t>o</w:t>
            </w:r>
            <w:r>
              <w:t>/60</w:t>
            </w:r>
            <w:r w:rsidRPr="00F3792F">
              <w:rPr>
                <w:vertAlign w:val="superscript"/>
              </w:rPr>
              <w:t>o</w:t>
            </w:r>
          </w:p>
        </w:tc>
      </w:tr>
      <w:tr w:rsidR="000A08B0" w14:paraId="20028802" w14:textId="77777777" w:rsidTr="00A25850">
        <w:tc>
          <w:tcPr>
            <w:tcW w:w="1975" w:type="dxa"/>
          </w:tcPr>
          <w:p w14:paraId="5107F090" w14:textId="77777777" w:rsidR="000A08B0" w:rsidRPr="00F3792F" w:rsidRDefault="000A08B0" w:rsidP="00A25850">
            <w:pPr>
              <w:rPr>
                <w:b/>
                <w:bCs/>
              </w:rPr>
            </w:pPr>
            <w:r>
              <w:rPr>
                <w:b/>
                <w:bCs/>
              </w:rPr>
              <w:t>Text Excerpt</w:t>
            </w:r>
          </w:p>
        </w:tc>
        <w:tc>
          <w:tcPr>
            <w:tcW w:w="3828" w:type="dxa"/>
          </w:tcPr>
          <w:p w14:paraId="353426AD" w14:textId="77777777" w:rsidR="000A08B0" w:rsidRPr="000A08B0" w:rsidRDefault="000A08B0" w:rsidP="000A08B0">
            <w:pPr>
              <w:autoSpaceDE w:val="0"/>
              <w:autoSpaceDN w:val="0"/>
              <w:adjustRightInd w:val="0"/>
              <w:spacing w:after="0"/>
              <w:rPr>
                <w:color w:val="000000"/>
                <w:lang w:val="en-US"/>
              </w:rPr>
            </w:pPr>
            <w:r w:rsidRPr="000A08B0">
              <w:rPr>
                <w:color w:val="000000"/>
                <w:lang w:val="en-US"/>
              </w:rPr>
              <w:t xml:space="preserve">In order to make a reasonable trade-off between measurement uncertainties, at least the following number of points should be included in the measurement grid for TRP measurements for non-sparse antenna arrays case. If the re-positioning concept is not applied to TRP test cases: </w:t>
            </w:r>
          </w:p>
          <w:p w14:paraId="2CBC7A04" w14:textId="77777777" w:rsidR="000A08B0" w:rsidRPr="000A08B0" w:rsidRDefault="000A08B0" w:rsidP="000A08B0">
            <w:pPr>
              <w:autoSpaceDE w:val="0"/>
              <w:autoSpaceDN w:val="0"/>
              <w:adjustRightInd w:val="0"/>
              <w:spacing w:after="0"/>
              <w:rPr>
                <w:color w:val="000000"/>
                <w:sz w:val="13"/>
                <w:szCs w:val="13"/>
                <w:lang w:val="en-US"/>
              </w:rPr>
            </w:pPr>
            <w:r w:rsidRPr="000A08B0">
              <w:rPr>
                <w:color w:val="000000"/>
                <w:lang w:val="en-US"/>
              </w:rPr>
              <w:lastRenderedPageBreak/>
              <w:t>- 135 measurement grid points for constant density grid – Charged Particle implementation, with standard deviation of 0.23 dB</w:t>
            </w:r>
            <w:r w:rsidRPr="000A08B0">
              <w:rPr>
                <w:color w:val="000000"/>
                <w:sz w:val="13"/>
                <w:szCs w:val="13"/>
                <w:lang w:val="en-US"/>
              </w:rPr>
              <w:t xml:space="preserve">. </w:t>
            </w:r>
          </w:p>
          <w:p w14:paraId="55A1A3A6" w14:textId="718DCDDB" w:rsidR="000A08B0" w:rsidRPr="000A08B0" w:rsidRDefault="000A08B0" w:rsidP="000A08B0">
            <w:pPr>
              <w:autoSpaceDE w:val="0"/>
              <w:autoSpaceDN w:val="0"/>
              <w:adjustRightInd w:val="0"/>
              <w:spacing w:after="0"/>
              <w:rPr>
                <w:color w:val="000000"/>
                <w:lang w:val="en-US"/>
              </w:rPr>
            </w:pPr>
            <w:r w:rsidRPr="000A08B0">
              <w:rPr>
                <w:color w:val="000000"/>
                <w:lang w:val="en-US"/>
              </w:rPr>
              <w:t xml:space="preserve">- 12 latitudes and 19 longitudes for constant step size grid – sin (theta) weights integration approach, with standard deviation of 0.25dB with the allowance to skip and interpolate measurements at the pole at </w:t>
            </w:r>
            <w:r w:rsidRPr="000A08B0">
              <w:rPr>
                <w:rFonts w:ascii="Symbol" w:hAnsi="Symbol"/>
                <w:color w:val="000000"/>
                <w:lang w:val="en-US"/>
              </w:rPr>
              <w:t></w:t>
            </w:r>
            <w:r w:rsidRPr="000A08B0">
              <w:rPr>
                <w:color w:val="000000"/>
                <w:lang w:val="en-US"/>
              </w:rPr>
              <w:t>=180</w:t>
            </w:r>
            <w:r w:rsidRPr="000A08B0">
              <w:rPr>
                <w:color w:val="000000"/>
                <w:vertAlign w:val="superscript"/>
                <w:lang w:val="en-US"/>
              </w:rPr>
              <w:t>o</w:t>
            </w:r>
            <w:r w:rsidRPr="000A08B0">
              <w:rPr>
                <w:color w:val="000000"/>
                <w:lang w:val="en-US"/>
              </w:rPr>
              <w:t xml:space="preserve">. </w:t>
            </w:r>
          </w:p>
          <w:p w14:paraId="350FF9FC" w14:textId="78321184" w:rsidR="000A08B0" w:rsidRPr="000A08B0" w:rsidRDefault="000A08B0" w:rsidP="000A08B0">
            <w:pPr>
              <w:autoSpaceDE w:val="0"/>
              <w:autoSpaceDN w:val="0"/>
              <w:adjustRightInd w:val="0"/>
              <w:spacing w:after="0"/>
              <w:rPr>
                <w:color w:val="000000"/>
                <w:lang w:val="en-US"/>
              </w:rPr>
            </w:pPr>
            <w:r w:rsidRPr="000A08B0">
              <w:rPr>
                <w:color w:val="000000"/>
                <w:lang w:val="en-US"/>
              </w:rPr>
              <w:t xml:space="preserve">- 12 latitudes and 19 longitudes for constant step size grid – Clenshaw Curtis weights integration approach, with standard deviation of 0.20 dB with the allowance to skip and interpolate measurements at the pole at </w:t>
            </w:r>
            <w:r w:rsidRPr="000A08B0">
              <w:rPr>
                <w:rFonts w:ascii="Symbol" w:hAnsi="Symbol"/>
                <w:color w:val="000000"/>
                <w:lang w:val="en-US"/>
              </w:rPr>
              <w:t></w:t>
            </w:r>
            <w:r w:rsidRPr="000A08B0">
              <w:rPr>
                <w:color w:val="000000"/>
                <w:lang w:val="en-US"/>
              </w:rPr>
              <w:t>=180</w:t>
            </w:r>
            <w:r w:rsidRPr="000A08B0">
              <w:rPr>
                <w:color w:val="000000"/>
                <w:vertAlign w:val="superscript"/>
                <w:lang w:val="en-US"/>
              </w:rPr>
              <w:t>o</w:t>
            </w:r>
            <w:r w:rsidRPr="000A08B0">
              <w:rPr>
                <w:color w:val="000000"/>
                <w:lang w:val="en-US"/>
              </w:rPr>
              <w:t xml:space="preserve">. </w:t>
            </w:r>
          </w:p>
          <w:p w14:paraId="40F61ADA" w14:textId="77777777" w:rsidR="000A08B0" w:rsidRPr="000A08B0" w:rsidRDefault="000A08B0" w:rsidP="000A08B0">
            <w:pPr>
              <w:autoSpaceDE w:val="0"/>
              <w:autoSpaceDN w:val="0"/>
              <w:adjustRightInd w:val="0"/>
              <w:spacing w:after="0"/>
              <w:rPr>
                <w:color w:val="000000"/>
                <w:lang w:val="en-US"/>
              </w:rPr>
            </w:pPr>
            <w:r w:rsidRPr="000A08B0">
              <w:rPr>
                <w:color w:val="000000"/>
                <w:lang w:val="en-US"/>
              </w:rPr>
              <w:t xml:space="preserve">If the re-positioning concept is applied to TRP test cases: </w:t>
            </w:r>
          </w:p>
          <w:p w14:paraId="3C710306" w14:textId="50B1AF3C" w:rsidR="000A08B0" w:rsidRPr="000A08B0" w:rsidRDefault="000A08B0" w:rsidP="000A08B0">
            <w:pPr>
              <w:autoSpaceDE w:val="0"/>
              <w:autoSpaceDN w:val="0"/>
              <w:adjustRightInd w:val="0"/>
              <w:spacing w:after="0"/>
              <w:rPr>
                <w:color w:val="000000"/>
                <w:lang w:val="en-US"/>
              </w:rPr>
            </w:pPr>
            <w:r w:rsidRPr="000A08B0">
              <w:rPr>
                <w:color w:val="000000"/>
                <w:lang w:val="en-US"/>
              </w:rPr>
              <w:t>- 135 measurement grid points for constant density grid – Charged Particle implementation, with standard deviation of 0.23 dB with the allowance to skip and interpolate measurements beyond 165</w:t>
            </w:r>
            <w:r w:rsidRPr="000A08B0">
              <w:rPr>
                <w:color w:val="000000"/>
                <w:vertAlign w:val="superscript"/>
                <w:lang w:val="en-US"/>
              </w:rPr>
              <w:t>o</w:t>
            </w:r>
            <w:r w:rsidRPr="000A08B0">
              <w:rPr>
                <w:color w:val="000000"/>
                <w:sz w:val="13"/>
                <w:szCs w:val="13"/>
                <w:lang w:val="en-US"/>
              </w:rPr>
              <w:t xml:space="preserve"> </w:t>
            </w:r>
            <w:r w:rsidRPr="000A08B0">
              <w:rPr>
                <w:color w:val="000000"/>
                <w:lang w:val="en-US"/>
              </w:rPr>
              <w:t xml:space="preserve">in </w:t>
            </w:r>
            <w:r w:rsidRPr="000A08B0">
              <w:rPr>
                <w:rFonts w:ascii="Symbol" w:hAnsi="Symbol"/>
                <w:color w:val="000000"/>
                <w:lang w:val="en-US"/>
              </w:rPr>
              <w:t></w:t>
            </w:r>
            <w:r w:rsidRPr="000A08B0">
              <w:rPr>
                <w:color w:val="000000"/>
                <w:lang w:val="en-US"/>
              </w:rPr>
              <w:t xml:space="preserve">, see Annex M.4.4 </w:t>
            </w:r>
          </w:p>
          <w:p w14:paraId="568DD140" w14:textId="2EBE2C2E" w:rsidR="000A08B0" w:rsidRPr="000A08B0" w:rsidRDefault="000A08B0" w:rsidP="000A08B0">
            <w:pPr>
              <w:autoSpaceDE w:val="0"/>
              <w:autoSpaceDN w:val="0"/>
              <w:adjustRightInd w:val="0"/>
              <w:spacing w:after="0"/>
              <w:rPr>
                <w:color w:val="000000"/>
                <w:lang w:val="en-US"/>
              </w:rPr>
            </w:pPr>
            <w:r w:rsidRPr="000A08B0">
              <w:rPr>
                <w:color w:val="000000"/>
                <w:lang w:val="en-US"/>
              </w:rPr>
              <w:t>- 150 measurement grid points for constant density grid – Charged Particle implementation, with standard deviation of 0.25 dB with the allowance to skip and interpolate measurements beyond 150</w:t>
            </w:r>
            <w:r w:rsidRPr="000A08B0">
              <w:rPr>
                <w:color w:val="000000"/>
                <w:vertAlign w:val="superscript"/>
                <w:lang w:val="en-US"/>
              </w:rPr>
              <w:t>o</w:t>
            </w:r>
            <w:r w:rsidRPr="000A08B0">
              <w:rPr>
                <w:color w:val="000000"/>
                <w:sz w:val="13"/>
                <w:szCs w:val="13"/>
                <w:lang w:val="en-US"/>
              </w:rPr>
              <w:t xml:space="preserve"> </w:t>
            </w:r>
            <w:r w:rsidRPr="000A08B0">
              <w:rPr>
                <w:color w:val="000000"/>
                <w:lang w:val="en-US"/>
              </w:rPr>
              <w:t xml:space="preserve">in </w:t>
            </w:r>
            <w:r w:rsidRPr="000A08B0">
              <w:rPr>
                <w:rFonts w:ascii="Symbol" w:hAnsi="Symbol"/>
                <w:color w:val="000000"/>
                <w:lang w:val="en-US"/>
              </w:rPr>
              <w:t></w:t>
            </w:r>
            <w:r w:rsidRPr="000A08B0">
              <w:rPr>
                <w:color w:val="000000"/>
                <w:lang w:val="en-US"/>
              </w:rPr>
              <w:t xml:space="preserve">, see Annex M.4.4 </w:t>
            </w:r>
          </w:p>
          <w:p w14:paraId="19A15673" w14:textId="3B5E610E" w:rsidR="000A08B0" w:rsidRPr="000A08B0" w:rsidRDefault="000A08B0" w:rsidP="000A08B0">
            <w:pPr>
              <w:autoSpaceDE w:val="0"/>
              <w:autoSpaceDN w:val="0"/>
              <w:adjustRightInd w:val="0"/>
              <w:spacing w:after="0"/>
              <w:rPr>
                <w:color w:val="000000"/>
                <w:lang w:val="en-US"/>
              </w:rPr>
            </w:pPr>
            <w:r w:rsidRPr="000A08B0">
              <w:rPr>
                <w:color w:val="000000"/>
                <w:lang w:val="en-US"/>
              </w:rPr>
              <w:t xml:space="preserve">- 12 latitudes and 19 longitudes for constant step size grid – sin (theta) weights integration approach, with standard deviation of 0.25dB with the allowance to skip and interpolate measurements the at pole at </w:t>
            </w:r>
            <w:r w:rsidRPr="000A08B0">
              <w:rPr>
                <w:rFonts w:ascii="Symbol" w:hAnsi="Symbol"/>
                <w:color w:val="000000"/>
                <w:lang w:val="en-US"/>
              </w:rPr>
              <w:t></w:t>
            </w:r>
            <w:r w:rsidRPr="000A08B0">
              <w:rPr>
                <w:color w:val="000000"/>
                <w:lang w:val="en-US"/>
              </w:rPr>
              <w:t>=180</w:t>
            </w:r>
            <w:r w:rsidRPr="000A08B0">
              <w:rPr>
                <w:color w:val="000000"/>
                <w:vertAlign w:val="superscript"/>
                <w:lang w:val="en-US"/>
              </w:rPr>
              <w:t>o</w:t>
            </w:r>
            <w:r w:rsidRPr="000A08B0">
              <w:rPr>
                <w:color w:val="000000"/>
                <w:lang w:val="en-US"/>
              </w:rPr>
              <w:t xml:space="preserve">, see Annex M.4.4 </w:t>
            </w:r>
          </w:p>
          <w:p w14:paraId="5D7E3738" w14:textId="22C478B2" w:rsidR="000A08B0" w:rsidRPr="000A08B0" w:rsidRDefault="000A08B0" w:rsidP="000A08B0">
            <w:pPr>
              <w:autoSpaceDE w:val="0"/>
              <w:autoSpaceDN w:val="0"/>
              <w:adjustRightInd w:val="0"/>
              <w:spacing w:after="0"/>
              <w:rPr>
                <w:color w:val="000000"/>
                <w:lang w:val="en-US"/>
              </w:rPr>
            </w:pPr>
            <w:r w:rsidRPr="000A08B0">
              <w:rPr>
                <w:color w:val="000000"/>
                <w:lang w:val="en-US"/>
              </w:rPr>
              <w:t xml:space="preserve">- 12 latitudes and 19 longitudes for constant step size grid – Clenshaw Curtis weights integration approach, with standard deviation of 0.20 dB with the allowance to skip and interpolate measurements the at pole at </w:t>
            </w:r>
            <w:r w:rsidRPr="000A08B0">
              <w:rPr>
                <w:rFonts w:ascii="Symbol" w:hAnsi="Symbol"/>
                <w:color w:val="000000"/>
                <w:lang w:val="en-US"/>
              </w:rPr>
              <w:t></w:t>
            </w:r>
            <w:r w:rsidRPr="000A08B0">
              <w:rPr>
                <w:color w:val="000000"/>
                <w:lang w:val="en-US"/>
              </w:rPr>
              <w:t>=180</w:t>
            </w:r>
            <w:r w:rsidRPr="000A08B0">
              <w:rPr>
                <w:color w:val="000000"/>
                <w:vertAlign w:val="superscript"/>
                <w:lang w:val="en-US"/>
              </w:rPr>
              <w:t>o</w:t>
            </w:r>
            <w:r w:rsidRPr="000A08B0">
              <w:rPr>
                <w:color w:val="000000"/>
                <w:lang w:val="en-US"/>
              </w:rPr>
              <w:t xml:space="preserve">, see Annex M.4.4 </w:t>
            </w:r>
          </w:p>
          <w:p w14:paraId="4E193716" w14:textId="29B91E1A" w:rsidR="000A08B0" w:rsidRPr="000A08B0" w:rsidRDefault="000A08B0" w:rsidP="000A08B0">
            <w:pPr>
              <w:autoSpaceDE w:val="0"/>
              <w:autoSpaceDN w:val="0"/>
              <w:adjustRightInd w:val="0"/>
              <w:spacing w:after="0"/>
              <w:rPr>
                <w:color w:val="000000"/>
                <w:lang w:val="en-US"/>
              </w:rPr>
            </w:pPr>
            <w:r w:rsidRPr="000A08B0">
              <w:rPr>
                <w:color w:val="000000"/>
                <w:lang w:val="en-US"/>
              </w:rPr>
              <w:t>- 13 latitudes and 24 longitudes for constant step size grid – sin (theta) weights integration approach, with standard deviation of 0.21dB with the allowance to skip and interpolate measurements beyond 150</w:t>
            </w:r>
            <w:r w:rsidRPr="000A08B0">
              <w:rPr>
                <w:color w:val="000000"/>
                <w:vertAlign w:val="superscript"/>
                <w:lang w:val="en-US"/>
              </w:rPr>
              <w:t>o</w:t>
            </w:r>
            <w:r w:rsidRPr="000A08B0">
              <w:rPr>
                <w:color w:val="000000"/>
                <w:sz w:val="13"/>
                <w:szCs w:val="13"/>
                <w:lang w:val="en-US"/>
              </w:rPr>
              <w:t xml:space="preserve"> </w:t>
            </w:r>
            <w:r w:rsidRPr="000A08B0">
              <w:rPr>
                <w:color w:val="000000"/>
                <w:lang w:val="en-US"/>
              </w:rPr>
              <w:t xml:space="preserve">in </w:t>
            </w:r>
            <w:r w:rsidRPr="000A08B0">
              <w:rPr>
                <w:rFonts w:ascii="Symbol" w:hAnsi="Symbol"/>
                <w:color w:val="000000"/>
                <w:lang w:val="en-US"/>
              </w:rPr>
              <w:t></w:t>
            </w:r>
            <w:r w:rsidRPr="000A08B0">
              <w:rPr>
                <w:color w:val="000000"/>
                <w:lang w:val="en-US"/>
              </w:rPr>
              <w:t xml:space="preserve">, see Annex M.4.4 </w:t>
            </w:r>
          </w:p>
          <w:p w14:paraId="38A497A2" w14:textId="1C27107A" w:rsidR="000A08B0" w:rsidRDefault="000A08B0" w:rsidP="000A08B0">
            <w:r w:rsidRPr="000A08B0">
              <w:rPr>
                <w:color w:val="000000"/>
                <w:lang w:val="en-US"/>
              </w:rPr>
              <w:t>- 13 latitudes and 24 longitudes for constant step size grid – Clenshaw Curtis weights integration approach, with standard deviation of 0.15 dB with the allowance to skip and interpolate measurements beyond 150</w:t>
            </w:r>
            <w:r w:rsidRPr="000A08B0">
              <w:rPr>
                <w:color w:val="000000"/>
                <w:vertAlign w:val="superscript"/>
                <w:lang w:val="en-US"/>
              </w:rPr>
              <w:t>o</w:t>
            </w:r>
            <w:r w:rsidRPr="000A08B0">
              <w:rPr>
                <w:color w:val="000000"/>
                <w:sz w:val="13"/>
                <w:szCs w:val="13"/>
                <w:lang w:val="en-US"/>
              </w:rPr>
              <w:t xml:space="preserve"> </w:t>
            </w:r>
            <w:r w:rsidRPr="000A08B0">
              <w:rPr>
                <w:color w:val="000000"/>
                <w:lang w:val="en-US"/>
              </w:rPr>
              <w:t xml:space="preserve">in </w:t>
            </w:r>
            <w:r w:rsidRPr="000A08B0">
              <w:rPr>
                <w:rFonts w:ascii="Symbol" w:hAnsi="Symbol"/>
                <w:color w:val="000000"/>
                <w:lang w:val="en-US"/>
              </w:rPr>
              <w:t></w:t>
            </w:r>
            <w:r w:rsidRPr="000A08B0">
              <w:rPr>
                <w:color w:val="000000"/>
                <w:lang w:val="en-US"/>
              </w:rPr>
              <w:t>, see Annex M.4.4.</w:t>
            </w:r>
          </w:p>
        </w:tc>
        <w:tc>
          <w:tcPr>
            <w:tcW w:w="3828" w:type="dxa"/>
          </w:tcPr>
          <w:p w14:paraId="035A85A1" w14:textId="77777777" w:rsidR="000628C6" w:rsidRPr="000A08B0" w:rsidRDefault="000628C6" w:rsidP="000628C6">
            <w:pPr>
              <w:autoSpaceDE w:val="0"/>
              <w:autoSpaceDN w:val="0"/>
              <w:adjustRightInd w:val="0"/>
              <w:spacing w:after="0"/>
              <w:rPr>
                <w:color w:val="000000"/>
                <w:lang w:val="en-US"/>
              </w:rPr>
            </w:pPr>
            <w:r w:rsidRPr="000A08B0">
              <w:rPr>
                <w:color w:val="000000"/>
                <w:lang w:val="en-US"/>
              </w:rPr>
              <w:lastRenderedPageBreak/>
              <w:t xml:space="preserve">In order to make a reasonable trade-off between measurement uncertainties, at least the following number of points should be included in the measurement grid for TRP measurements for non-sparse antenna arrays case. If the re-positioning concept is not applied to TRP test cases: </w:t>
            </w:r>
          </w:p>
          <w:p w14:paraId="42C51647" w14:textId="78C0E8C2" w:rsidR="000628C6" w:rsidRPr="000A08B0" w:rsidRDefault="000628C6" w:rsidP="000628C6">
            <w:pPr>
              <w:autoSpaceDE w:val="0"/>
              <w:autoSpaceDN w:val="0"/>
              <w:adjustRightInd w:val="0"/>
              <w:spacing w:after="0"/>
              <w:rPr>
                <w:color w:val="000000"/>
                <w:sz w:val="13"/>
                <w:szCs w:val="13"/>
                <w:lang w:val="en-US"/>
              </w:rPr>
            </w:pPr>
            <w:r w:rsidRPr="000A08B0">
              <w:rPr>
                <w:color w:val="000000"/>
                <w:lang w:val="en-US"/>
              </w:rPr>
              <w:lastRenderedPageBreak/>
              <w:t xml:space="preserve">- </w:t>
            </w:r>
            <w:r w:rsidR="00710E16" w:rsidRPr="00710E16">
              <w:rPr>
                <w:color w:val="000000"/>
                <w:highlight w:val="yellow"/>
                <w:lang w:val="en-US"/>
              </w:rPr>
              <w:t>160</w:t>
            </w:r>
            <w:r w:rsidRPr="000A08B0">
              <w:rPr>
                <w:color w:val="000000"/>
                <w:lang w:val="en-US"/>
              </w:rPr>
              <w:t xml:space="preserve"> measurement grid points for constant density grid – Charged Particle implementation, with standard deviation of 0.</w:t>
            </w:r>
            <w:r w:rsidR="00D66E54" w:rsidRPr="00D66E54">
              <w:rPr>
                <w:color w:val="000000"/>
                <w:highlight w:val="yellow"/>
                <w:lang w:val="en-US"/>
              </w:rPr>
              <w:t>19</w:t>
            </w:r>
            <w:r w:rsidRPr="000A08B0">
              <w:rPr>
                <w:color w:val="000000"/>
                <w:lang w:val="en-US"/>
              </w:rPr>
              <w:t xml:space="preserve"> dB</w:t>
            </w:r>
            <w:r w:rsidRPr="000A08B0">
              <w:rPr>
                <w:color w:val="000000"/>
                <w:sz w:val="13"/>
                <w:szCs w:val="13"/>
                <w:lang w:val="en-US"/>
              </w:rPr>
              <w:t xml:space="preserve">. </w:t>
            </w:r>
          </w:p>
          <w:p w14:paraId="1DF482C1" w14:textId="345C1071" w:rsidR="000628C6" w:rsidRPr="000A08B0" w:rsidRDefault="000628C6" w:rsidP="000628C6">
            <w:pPr>
              <w:autoSpaceDE w:val="0"/>
              <w:autoSpaceDN w:val="0"/>
              <w:adjustRightInd w:val="0"/>
              <w:spacing w:after="0"/>
              <w:rPr>
                <w:color w:val="000000"/>
                <w:lang w:val="en-US"/>
              </w:rPr>
            </w:pPr>
            <w:r w:rsidRPr="000A08B0">
              <w:rPr>
                <w:color w:val="000000"/>
                <w:lang w:val="en-US"/>
              </w:rPr>
              <w:t xml:space="preserve">- </w:t>
            </w:r>
            <w:r w:rsidRPr="000A08B0">
              <w:rPr>
                <w:color w:val="000000"/>
                <w:highlight w:val="yellow"/>
                <w:lang w:val="en-US"/>
              </w:rPr>
              <w:t>1</w:t>
            </w:r>
            <w:r w:rsidR="00CA722E" w:rsidRPr="00D66E54">
              <w:rPr>
                <w:color w:val="000000"/>
                <w:highlight w:val="yellow"/>
                <w:lang w:val="en-US"/>
              </w:rPr>
              <w:t>3</w:t>
            </w:r>
            <w:r w:rsidRPr="000A08B0">
              <w:rPr>
                <w:color w:val="000000"/>
                <w:lang w:val="en-US"/>
              </w:rPr>
              <w:t xml:space="preserve"> latitudes and </w:t>
            </w:r>
            <w:r w:rsidR="00D66E54" w:rsidRPr="00D66E54">
              <w:rPr>
                <w:color w:val="000000"/>
                <w:highlight w:val="yellow"/>
                <w:lang w:val="en-US"/>
              </w:rPr>
              <w:t>24</w:t>
            </w:r>
            <w:r w:rsidRPr="000A08B0">
              <w:rPr>
                <w:color w:val="000000"/>
                <w:lang w:val="en-US"/>
              </w:rPr>
              <w:t xml:space="preserve"> longitudes for constant step size grid</w:t>
            </w:r>
            <w:r w:rsidR="00D66E54" w:rsidRPr="00D66E54">
              <w:rPr>
                <w:highlight w:val="yellow"/>
              </w:rPr>
              <w:t xml:space="preserve"> with </w:t>
            </w:r>
            <w:r w:rsidR="00D66E54" w:rsidRPr="00B62023">
              <w:rPr>
                <w:rFonts w:ascii="Symbol" w:hAnsi="Symbol"/>
                <w:highlight w:val="yellow"/>
              </w:rPr>
              <w:t>D</w:t>
            </w:r>
            <w:r w:rsidR="00D66E54" w:rsidRPr="00F3792F">
              <w:rPr>
                <w:rFonts w:ascii="Symbol" w:hAnsi="Symbol"/>
                <w:highlight w:val="yellow"/>
              </w:rPr>
              <w:t>f</w:t>
            </w:r>
            <w:r w:rsidR="00D66E54" w:rsidRPr="00F3792F">
              <w:rPr>
                <w:highlight w:val="yellow"/>
              </w:rPr>
              <w:t>=</w:t>
            </w:r>
            <w:r w:rsidR="00D66E54" w:rsidRPr="00F3792F">
              <w:rPr>
                <w:rFonts w:ascii="Symbol" w:hAnsi="Symbol"/>
                <w:highlight w:val="yellow"/>
              </w:rPr>
              <w:t>Dq</w:t>
            </w:r>
            <w:r w:rsidR="00D66E54" w:rsidRPr="00F3792F">
              <w:rPr>
                <w:highlight w:val="yellow"/>
              </w:rPr>
              <w:t>=</w:t>
            </w:r>
            <w:r w:rsidR="00D66E54">
              <w:rPr>
                <w:highlight w:val="yellow"/>
              </w:rPr>
              <w:t>15</w:t>
            </w:r>
            <w:r w:rsidR="00D66E54" w:rsidRPr="00F3792F">
              <w:rPr>
                <w:highlight w:val="yellow"/>
                <w:vertAlign w:val="superscript"/>
              </w:rPr>
              <w:t>o</w:t>
            </w:r>
            <w:r w:rsidRPr="000A08B0">
              <w:rPr>
                <w:color w:val="000000"/>
                <w:lang w:val="en-US"/>
              </w:rPr>
              <w:t xml:space="preserve"> – sin (theta) weights integration approach, with standard deviation of </w:t>
            </w:r>
            <w:r w:rsidRPr="000A08B0">
              <w:rPr>
                <w:color w:val="000000"/>
                <w:highlight w:val="yellow"/>
                <w:lang w:val="en-US"/>
              </w:rPr>
              <w:t>0.</w:t>
            </w:r>
            <w:r w:rsidR="00D66E54" w:rsidRPr="00D66E54">
              <w:rPr>
                <w:color w:val="000000"/>
                <w:highlight w:val="yellow"/>
                <w:lang w:val="en-US"/>
              </w:rPr>
              <w:t>17</w:t>
            </w:r>
            <w:r w:rsidR="00D66E54">
              <w:rPr>
                <w:color w:val="000000"/>
                <w:lang w:val="en-US"/>
              </w:rPr>
              <w:t xml:space="preserve"> </w:t>
            </w:r>
            <w:r w:rsidRPr="000A08B0">
              <w:rPr>
                <w:color w:val="000000"/>
                <w:lang w:val="en-US"/>
              </w:rPr>
              <w:t xml:space="preserve">dB with the allowance to skip and interpolate measurements at the pole at </w:t>
            </w:r>
            <w:r w:rsidRPr="000A08B0">
              <w:rPr>
                <w:rFonts w:ascii="Symbol" w:hAnsi="Symbol"/>
                <w:color w:val="000000"/>
                <w:lang w:val="en-US"/>
              </w:rPr>
              <w:t></w:t>
            </w:r>
            <w:r w:rsidRPr="000A08B0">
              <w:rPr>
                <w:color w:val="000000"/>
                <w:lang w:val="en-US"/>
              </w:rPr>
              <w:t>=180</w:t>
            </w:r>
            <w:r w:rsidRPr="000A08B0">
              <w:rPr>
                <w:color w:val="000000"/>
                <w:vertAlign w:val="superscript"/>
                <w:lang w:val="en-US"/>
              </w:rPr>
              <w:t>o</w:t>
            </w:r>
            <w:r w:rsidRPr="000A08B0">
              <w:rPr>
                <w:color w:val="000000"/>
                <w:lang w:val="en-US"/>
              </w:rPr>
              <w:t xml:space="preserve">. </w:t>
            </w:r>
          </w:p>
          <w:p w14:paraId="4848DB3D" w14:textId="11B46733" w:rsidR="000628C6" w:rsidRPr="000A08B0" w:rsidRDefault="000628C6" w:rsidP="000628C6">
            <w:pPr>
              <w:autoSpaceDE w:val="0"/>
              <w:autoSpaceDN w:val="0"/>
              <w:adjustRightInd w:val="0"/>
              <w:spacing w:after="0"/>
              <w:rPr>
                <w:color w:val="000000"/>
                <w:lang w:val="en-US"/>
              </w:rPr>
            </w:pPr>
            <w:r w:rsidRPr="000A08B0">
              <w:rPr>
                <w:color w:val="000000"/>
                <w:lang w:val="en-US"/>
              </w:rPr>
              <w:t xml:space="preserve">- </w:t>
            </w:r>
            <w:r w:rsidRPr="000A08B0">
              <w:rPr>
                <w:color w:val="000000"/>
                <w:highlight w:val="yellow"/>
                <w:lang w:val="en-US"/>
              </w:rPr>
              <w:t>1</w:t>
            </w:r>
            <w:r w:rsidR="00D66E54" w:rsidRPr="00D66E54">
              <w:rPr>
                <w:color w:val="000000"/>
                <w:highlight w:val="yellow"/>
                <w:lang w:val="en-US"/>
              </w:rPr>
              <w:t>3</w:t>
            </w:r>
            <w:r w:rsidRPr="000A08B0">
              <w:rPr>
                <w:color w:val="000000"/>
                <w:lang w:val="en-US"/>
              </w:rPr>
              <w:t xml:space="preserve"> latitudes and </w:t>
            </w:r>
            <w:r w:rsidR="00D66E54" w:rsidRPr="00D66E54">
              <w:rPr>
                <w:color w:val="000000"/>
                <w:highlight w:val="yellow"/>
                <w:lang w:val="en-US"/>
              </w:rPr>
              <w:t>24</w:t>
            </w:r>
            <w:r w:rsidRPr="000A08B0">
              <w:rPr>
                <w:color w:val="000000"/>
                <w:lang w:val="en-US"/>
              </w:rPr>
              <w:t xml:space="preserve"> longitudes for constant step size grid</w:t>
            </w:r>
            <w:r w:rsidR="00D66E54" w:rsidRPr="000A08B0">
              <w:rPr>
                <w:color w:val="000000"/>
                <w:lang w:val="en-US"/>
              </w:rPr>
              <w:t xml:space="preserve"> </w:t>
            </w:r>
            <w:r w:rsidR="00D66E54" w:rsidRPr="00D66E54">
              <w:rPr>
                <w:highlight w:val="yellow"/>
              </w:rPr>
              <w:t xml:space="preserve">with </w:t>
            </w:r>
            <w:r w:rsidR="00D66E54" w:rsidRPr="00B62023">
              <w:rPr>
                <w:rFonts w:ascii="Symbol" w:hAnsi="Symbol"/>
                <w:highlight w:val="yellow"/>
              </w:rPr>
              <w:t>D</w:t>
            </w:r>
            <w:r w:rsidR="00D66E54" w:rsidRPr="00F3792F">
              <w:rPr>
                <w:rFonts w:ascii="Symbol" w:hAnsi="Symbol"/>
                <w:highlight w:val="yellow"/>
              </w:rPr>
              <w:t>f</w:t>
            </w:r>
            <w:r w:rsidR="00D66E54" w:rsidRPr="00F3792F">
              <w:rPr>
                <w:highlight w:val="yellow"/>
              </w:rPr>
              <w:t>=</w:t>
            </w:r>
            <w:r w:rsidR="00D66E54" w:rsidRPr="00F3792F">
              <w:rPr>
                <w:rFonts w:ascii="Symbol" w:hAnsi="Symbol"/>
                <w:highlight w:val="yellow"/>
              </w:rPr>
              <w:t>Dq</w:t>
            </w:r>
            <w:r w:rsidR="00D66E54" w:rsidRPr="00F3792F">
              <w:rPr>
                <w:highlight w:val="yellow"/>
              </w:rPr>
              <w:t>=</w:t>
            </w:r>
            <w:r w:rsidR="00D66E54">
              <w:rPr>
                <w:highlight w:val="yellow"/>
              </w:rPr>
              <w:t>15</w:t>
            </w:r>
            <w:r w:rsidR="00D66E54" w:rsidRPr="00F3792F">
              <w:rPr>
                <w:highlight w:val="yellow"/>
                <w:vertAlign w:val="superscript"/>
              </w:rPr>
              <w:t>o</w:t>
            </w:r>
            <w:r w:rsidRPr="000A08B0">
              <w:rPr>
                <w:color w:val="000000"/>
                <w:lang w:val="en-US"/>
              </w:rPr>
              <w:t xml:space="preserve"> – Clenshaw Curtis weights integration approach, with standard deviation of </w:t>
            </w:r>
            <w:r w:rsidRPr="000A08B0">
              <w:rPr>
                <w:color w:val="000000"/>
                <w:highlight w:val="yellow"/>
                <w:lang w:val="en-US"/>
              </w:rPr>
              <w:t>0.</w:t>
            </w:r>
            <w:r w:rsidR="00D66E54" w:rsidRPr="00D66E54">
              <w:rPr>
                <w:color w:val="000000"/>
                <w:highlight w:val="yellow"/>
                <w:lang w:val="en-US"/>
              </w:rPr>
              <w:t>15</w:t>
            </w:r>
            <w:r w:rsidRPr="000A08B0">
              <w:rPr>
                <w:color w:val="000000"/>
                <w:lang w:val="en-US"/>
              </w:rPr>
              <w:t xml:space="preserve"> dB with the allowance to skip and interpolate measurements at the pole at </w:t>
            </w:r>
            <w:r w:rsidRPr="000A08B0">
              <w:rPr>
                <w:rFonts w:ascii="Symbol" w:hAnsi="Symbol"/>
                <w:color w:val="000000"/>
                <w:lang w:val="en-US"/>
              </w:rPr>
              <w:t></w:t>
            </w:r>
            <w:r w:rsidRPr="000A08B0">
              <w:rPr>
                <w:color w:val="000000"/>
                <w:lang w:val="en-US"/>
              </w:rPr>
              <w:t>=180</w:t>
            </w:r>
            <w:r w:rsidRPr="000A08B0">
              <w:rPr>
                <w:color w:val="000000"/>
                <w:vertAlign w:val="superscript"/>
                <w:lang w:val="en-US"/>
              </w:rPr>
              <w:t>o</w:t>
            </w:r>
            <w:r w:rsidRPr="000A08B0">
              <w:rPr>
                <w:color w:val="000000"/>
                <w:lang w:val="en-US"/>
              </w:rPr>
              <w:t xml:space="preserve">. </w:t>
            </w:r>
          </w:p>
          <w:p w14:paraId="2E0F84AF" w14:textId="77777777" w:rsidR="000628C6" w:rsidRPr="000A08B0" w:rsidRDefault="000628C6" w:rsidP="000628C6">
            <w:pPr>
              <w:autoSpaceDE w:val="0"/>
              <w:autoSpaceDN w:val="0"/>
              <w:adjustRightInd w:val="0"/>
              <w:spacing w:after="0"/>
              <w:rPr>
                <w:color w:val="000000"/>
                <w:lang w:val="en-US"/>
              </w:rPr>
            </w:pPr>
            <w:r w:rsidRPr="000A08B0">
              <w:rPr>
                <w:color w:val="000000"/>
                <w:lang w:val="en-US"/>
              </w:rPr>
              <w:t xml:space="preserve">If the re-positioning concept is applied to TRP test cases: </w:t>
            </w:r>
          </w:p>
          <w:p w14:paraId="5D9B5802" w14:textId="2855A653" w:rsidR="000628C6" w:rsidRPr="000A08B0" w:rsidRDefault="000628C6" w:rsidP="000628C6">
            <w:pPr>
              <w:autoSpaceDE w:val="0"/>
              <w:autoSpaceDN w:val="0"/>
              <w:adjustRightInd w:val="0"/>
              <w:spacing w:after="0"/>
              <w:rPr>
                <w:color w:val="000000"/>
                <w:lang w:val="en-US"/>
              </w:rPr>
            </w:pPr>
            <w:r w:rsidRPr="000A08B0">
              <w:rPr>
                <w:color w:val="000000"/>
                <w:lang w:val="en-US"/>
              </w:rPr>
              <w:t xml:space="preserve">- </w:t>
            </w:r>
            <w:r w:rsidR="00710E16" w:rsidRPr="000C47D0">
              <w:rPr>
                <w:color w:val="000000"/>
                <w:highlight w:val="yellow"/>
                <w:lang w:val="en-US"/>
              </w:rPr>
              <w:t>160</w:t>
            </w:r>
            <w:r w:rsidR="00710E16" w:rsidRPr="000A08B0">
              <w:rPr>
                <w:color w:val="000000"/>
                <w:lang w:val="en-US"/>
              </w:rPr>
              <w:t xml:space="preserve"> </w:t>
            </w:r>
            <w:r w:rsidRPr="000A08B0">
              <w:rPr>
                <w:color w:val="000000"/>
                <w:lang w:val="en-US"/>
              </w:rPr>
              <w:t>measurement grid points for constant density grid – Charged Particle implementation, with standard deviation of 0.</w:t>
            </w:r>
            <w:r w:rsidR="00710E16" w:rsidRPr="00710E16">
              <w:rPr>
                <w:color w:val="000000"/>
                <w:highlight w:val="yellow"/>
                <w:lang w:val="en-US"/>
              </w:rPr>
              <w:t>19</w:t>
            </w:r>
            <w:r w:rsidRPr="000A08B0">
              <w:rPr>
                <w:color w:val="000000"/>
                <w:lang w:val="en-US"/>
              </w:rPr>
              <w:t xml:space="preserve"> dB with the allowance to skip and interpolate measurements beyond 150</w:t>
            </w:r>
            <w:r w:rsidRPr="000A08B0">
              <w:rPr>
                <w:color w:val="000000"/>
                <w:vertAlign w:val="superscript"/>
                <w:lang w:val="en-US"/>
              </w:rPr>
              <w:t>o</w:t>
            </w:r>
            <w:r w:rsidRPr="000A08B0">
              <w:rPr>
                <w:color w:val="000000"/>
                <w:sz w:val="13"/>
                <w:szCs w:val="13"/>
                <w:lang w:val="en-US"/>
              </w:rPr>
              <w:t xml:space="preserve"> </w:t>
            </w:r>
            <w:r w:rsidRPr="000A08B0">
              <w:rPr>
                <w:color w:val="000000"/>
                <w:lang w:val="en-US"/>
              </w:rPr>
              <w:t xml:space="preserve">in </w:t>
            </w:r>
            <w:r w:rsidRPr="000A08B0">
              <w:rPr>
                <w:rFonts w:ascii="Symbol" w:hAnsi="Symbol"/>
                <w:color w:val="000000"/>
                <w:lang w:val="en-US"/>
              </w:rPr>
              <w:t></w:t>
            </w:r>
            <w:r w:rsidRPr="000A08B0">
              <w:rPr>
                <w:color w:val="000000"/>
                <w:lang w:val="en-US"/>
              </w:rPr>
              <w:t xml:space="preserve">, see Annex M.4.4 </w:t>
            </w:r>
          </w:p>
          <w:p w14:paraId="5EF67B63" w14:textId="0A3D8002" w:rsidR="000628C6" w:rsidRPr="000A08B0" w:rsidRDefault="000628C6" w:rsidP="000628C6">
            <w:pPr>
              <w:autoSpaceDE w:val="0"/>
              <w:autoSpaceDN w:val="0"/>
              <w:adjustRightInd w:val="0"/>
              <w:spacing w:after="0"/>
              <w:rPr>
                <w:color w:val="000000"/>
                <w:lang w:val="en-US"/>
              </w:rPr>
            </w:pPr>
            <w:r w:rsidRPr="000A08B0">
              <w:rPr>
                <w:color w:val="000000"/>
                <w:lang w:val="en-US"/>
              </w:rPr>
              <w:t xml:space="preserve">- 13 latitudes and 24 longitudes for constant step size grid </w:t>
            </w:r>
            <w:r w:rsidR="00D66E54" w:rsidRPr="00D66E54">
              <w:rPr>
                <w:highlight w:val="yellow"/>
              </w:rPr>
              <w:t xml:space="preserve">with </w:t>
            </w:r>
            <w:r w:rsidR="00D66E54" w:rsidRPr="00B62023">
              <w:rPr>
                <w:rFonts w:ascii="Symbol" w:hAnsi="Symbol"/>
                <w:highlight w:val="yellow"/>
              </w:rPr>
              <w:t>D</w:t>
            </w:r>
            <w:r w:rsidR="00D66E54" w:rsidRPr="00F3792F">
              <w:rPr>
                <w:rFonts w:ascii="Symbol" w:hAnsi="Symbol"/>
                <w:highlight w:val="yellow"/>
              </w:rPr>
              <w:t>f</w:t>
            </w:r>
            <w:r w:rsidR="00D66E54" w:rsidRPr="00F3792F">
              <w:rPr>
                <w:highlight w:val="yellow"/>
              </w:rPr>
              <w:t>=</w:t>
            </w:r>
            <w:r w:rsidR="00D66E54" w:rsidRPr="00F3792F">
              <w:rPr>
                <w:rFonts w:ascii="Symbol" w:hAnsi="Symbol"/>
                <w:highlight w:val="yellow"/>
              </w:rPr>
              <w:t>Dq</w:t>
            </w:r>
            <w:r w:rsidR="00D66E54" w:rsidRPr="00F3792F">
              <w:rPr>
                <w:highlight w:val="yellow"/>
              </w:rPr>
              <w:t>=</w:t>
            </w:r>
            <w:r w:rsidR="00D66E54">
              <w:rPr>
                <w:highlight w:val="yellow"/>
              </w:rPr>
              <w:t>15</w:t>
            </w:r>
            <w:r w:rsidR="00D66E54" w:rsidRPr="00F3792F">
              <w:rPr>
                <w:highlight w:val="yellow"/>
                <w:vertAlign w:val="superscript"/>
              </w:rPr>
              <w:t>o</w:t>
            </w:r>
            <w:r w:rsidR="00D66E54" w:rsidRPr="000A08B0">
              <w:rPr>
                <w:color w:val="000000"/>
                <w:lang w:val="en-US"/>
              </w:rPr>
              <w:t xml:space="preserve"> </w:t>
            </w:r>
            <w:r w:rsidRPr="000A08B0">
              <w:rPr>
                <w:color w:val="000000"/>
                <w:lang w:val="en-US"/>
              </w:rPr>
              <w:t>– sin (theta) weights integration approach, with standard deviation of 0.</w:t>
            </w:r>
            <w:r w:rsidR="000C47D0" w:rsidRPr="000C47D0">
              <w:rPr>
                <w:color w:val="000000"/>
                <w:highlight w:val="yellow"/>
                <w:lang w:val="en-US"/>
              </w:rPr>
              <w:t>17</w:t>
            </w:r>
            <w:r w:rsidR="000C47D0">
              <w:rPr>
                <w:color w:val="000000"/>
                <w:lang w:val="en-US"/>
              </w:rPr>
              <w:t xml:space="preserve"> </w:t>
            </w:r>
            <w:r w:rsidRPr="000A08B0">
              <w:rPr>
                <w:color w:val="000000"/>
                <w:lang w:val="en-US"/>
              </w:rPr>
              <w:t>dB with the allowance to skip and interpolate measurements beyond 150</w:t>
            </w:r>
            <w:r w:rsidRPr="000A08B0">
              <w:rPr>
                <w:color w:val="000000"/>
                <w:vertAlign w:val="superscript"/>
                <w:lang w:val="en-US"/>
              </w:rPr>
              <w:t>o</w:t>
            </w:r>
            <w:r w:rsidRPr="000A08B0">
              <w:rPr>
                <w:color w:val="000000"/>
                <w:sz w:val="13"/>
                <w:szCs w:val="13"/>
                <w:lang w:val="en-US"/>
              </w:rPr>
              <w:t xml:space="preserve"> </w:t>
            </w:r>
            <w:r w:rsidRPr="000A08B0">
              <w:rPr>
                <w:color w:val="000000"/>
                <w:lang w:val="en-US"/>
              </w:rPr>
              <w:t xml:space="preserve">in </w:t>
            </w:r>
            <w:r w:rsidRPr="000A08B0">
              <w:rPr>
                <w:rFonts w:ascii="Symbol" w:hAnsi="Symbol"/>
                <w:color w:val="000000"/>
                <w:lang w:val="en-US"/>
              </w:rPr>
              <w:t></w:t>
            </w:r>
            <w:r w:rsidRPr="000A08B0">
              <w:rPr>
                <w:color w:val="000000"/>
                <w:lang w:val="en-US"/>
              </w:rPr>
              <w:t xml:space="preserve">, see Annex M.4.4 </w:t>
            </w:r>
          </w:p>
          <w:p w14:paraId="1D59FB18" w14:textId="4ED659B7" w:rsidR="000A08B0" w:rsidRDefault="000628C6" w:rsidP="000628C6">
            <w:r w:rsidRPr="000A08B0">
              <w:rPr>
                <w:color w:val="000000"/>
                <w:lang w:val="en-US"/>
              </w:rPr>
              <w:t xml:space="preserve">- 13 latitudes and 24 longitudes for constant step size grid </w:t>
            </w:r>
            <w:r w:rsidR="00D66E54" w:rsidRPr="00D66E54">
              <w:rPr>
                <w:highlight w:val="yellow"/>
              </w:rPr>
              <w:t xml:space="preserve">with </w:t>
            </w:r>
            <w:r w:rsidR="00D66E54" w:rsidRPr="00B62023">
              <w:rPr>
                <w:rFonts w:ascii="Symbol" w:hAnsi="Symbol"/>
                <w:highlight w:val="yellow"/>
              </w:rPr>
              <w:t>D</w:t>
            </w:r>
            <w:r w:rsidR="00D66E54" w:rsidRPr="00F3792F">
              <w:rPr>
                <w:rFonts w:ascii="Symbol" w:hAnsi="Symbol"/>
                <w:highlight w:val="yellow"/>
              </w:rPr>
              <w:t>f</w:t>
            </w:r>
            <w:r w:rsidR="00D66E54" w:rsidRPr="00F3792F">
              <w:rPr>
                <w:highlight w:val="yellow"/>
              </w:rPr>
              <w:t>=</w:t>
            </w:r>
            <w:r w:rsidR="00D66E54" w:rsidRPr="00F3792F">
              <w:rPr>
                <w:rFonts w:ascii="Symbol" w:hAnsi="Symbol"/>
                <w:highlight w:val="yellow"/>
              </w:rPr>
              <w:t>Dq</w:t>
            </w:r>
            <w:r w:rsidR="00D66E54" w:rsidRPr="00F3792F">
              <w:rPr>
                <w:highlight w:val="yellow"/>
              </w:rPr>
              <w:t>=</w:t>
            </w:r>
            <w:r w:rsidR="00D66E54">
              <w:rPr>
                <w:highlight w:val="yellow"/>
              </w:rPr>
              <w:t>15</w:t>
            </w:r>
            <w:r w:rsidR="00D66E54" w:rsidRPr="00F3792F">
              <w:rPr>
                <w:highlight w:val="yellow"/>
                <w:vertAlign w:val="superscript"/>
              </w:rPr>
              <w:t>o</w:t>
            </w:r>
            <w:r w:rsidR="00D66E54" w:rsidRPr="000A08B0">
              <w:rPr>
                <w:color w:val="000000"/>
                <w:lang w:val="en-US"/>
              </w:rPr>
              <w:t xml:space="preserve"> </w:t>
            </w:r>
            <w:r w:rsidRPr="000A08B0">
              <w:rPr>
                <w:color w:val="000000"/>
                <w:lang w:val="en-US"/>
              </w:rPr>
              <w:t>– Clenshaw Curtis weights integration approach, with standard deviation of 0.1</w:t>
            </w:r>
            <w:r w:rsidR="000C47D0" w:rsidRPr="000C47D0">
              <w:rPr>
                <w:color w:val="000000"/>
                <w:highlight w:val="yellow"/>
                <w:lang w:val="en-US"/>
              </w:rPr>
              <w:t>1</w:t>
            </w:r>
            <w:r w:rsidRPr="000A08B0">
              <w:rPr>
                <w:color w:val="000000"/>
                <w:lang w:val="en-US"/>
              </w:rPr>
              <w:t xml:space="preserve"> dB with the allowance to skip and interpolate measurements beyond 150</w:t>
            </w:r>
            <w:r w:rsidRPr="000A08B0">
              <w:rPr>
                <w:color w:val="000000"/>
                <w:vertAlign w:val="superscript"/>
                <w:lang w:val="en-US"/>
              </w:rPr>
              <w:t>o</w:t>
            </w:r>
            <w:r w:rsidRPr="000A08B0">
              <w:rPr>
                <w:color w:val="000000"/>
                <w:sz w:val="13"/>
                <w:szCs w:val="13"/>
                <w:lang w:val="en-US"/>
              </w:rPr>
              <w:t xml:space="preserve"> </w:t>
            </w:r>
            <w:r w:rsidRPr="000A08B0">
              <w:rPr>
                <w:color w:val="000000"/>
                <w:lang w:val="en-US"/>
              </w:rPr>
              <w:t xml:space="preserve">in </w:t>
            </w:r>
            <w:r w:rsidRPr="000A08B0">
              <w:rPr>
                <w:rFonts w:ascii="Symbol" w:hAnsi="Symbol"/>
                <w:color w:val="000000"/>
                <w:lang w:val="en-US"/>
              </w:rPr>
              <w:t></w:t>
            </w:r>
            <w:r w:rsidRPr="000A08B0">
              <w:rPr>
                <w:color w:val="000000"/>
                <w:lang w:val="en-US"/>
              </w:rPr>
              <w:t>, see Annex M.4.4.</w:t>
            </w:r>
          </w:p>
        </w:tc>
      </w:tr>
    </w:tbl>
    <w:p w14:paraId="0C15E61E" w14:textId="3AE8D0B1" w:rsidR="003B639F" w:rsidRDefault="003B639F" w:rsidP="003B639F">
      <w:pPr>
        <w:pStyle w:val="Caption"/>
      </w:pPr>
      <w:bookmarkStart w:id="11" w:name="_Ref101772195"/>
      <w:r>
        <w:lastRenderedPageBreak/>
        <w:t xml:space="preserve">Observation </w:t>
      </w:r>
      <w:r>
        <w:fldChar w:fldCharType="begin"/>
      </w:r>
      <w:r>
        <w:instrText xml:space="preserve"> SEQ Observation \* ARABIC </w:instrText>
      </w:r>
      <w:r>
        <w:fldChar w:fldCharType="separate"/>
      </w:r>
      <w:r>
        <w:rPr>
          <w:noProof/>
        </w:rPr>
        <w:t>3</w:t>
      </w:r>
      <w:r>
        <w:fldChar w:fldCharType="end"/>
      </w:r>
      <w:r>
        <w:t xml:space="preserve">: A slight increase in measurement grid points for the </w:t>
      </w:r>
      <w:r>
        <w:t>TRP</w:t>
      </w:r>
      <w:r>
        <w:t xml:space="preserve"> test can be observed for FR2-2 when compared to FR2-1 with </w:t>
      </w:r>
      <w:r>
        <w:t>similar</w:t>
      </w:r>
      <w:r>
        <w:t xml:space="preserve"> MU</w:t>
      </w:r>
      <w:r>
        <w:t>s</w:t>
      </w:r>
      <w:r>
        <w:t>.</w:t>
      </w:r>
      <w:bookmarkEnd w:id="11"/>
      <w:r>
        <w:t xml:space="preserve"> </w:t>
      </w:r>
    </w:p>
    <w:bookmarkEnd w:id="2"/>
    <w:bookmarkEnd w:id="4"/>
    <w:p w14:paraId="701A1CDC" w14:textId="77777777" w:rsidR="00F6267E" w:rsidRDefault="00F6267E" w:rsidP="00F6267E">
      <w:pPr>
        <w:pStyle w:val="Heading1"/>
        <w:numPr>
          <w:ilvl w:val="0"/>
          <w:numId w:val="42"/>
        </w:numPr>
        <w:ind w:left="360"/>
      </w:pPr>
      <w:r>
        <w:lastRenderedPageBreak/>
        <w:t>Conclusion</w:t>
      </w:r>
    </w:p>
    <w:p w14:paraId="41FA10DA" w14:textId="5757CFF0" w:rsidR="00734F28" w:rsidRDefault="00F6267E" w:rsidP="00F6267E">
      <w:r>
        <w:t xml:space="preserve">The </w:t>
      </w:r>
      <w:r w:rsidR="00734F28">
        <w:t xml:space="preserve">following observations and conclusions were made in this contribution. </w:t>
      </w:r>
    </w:p>
    <w:p w14:paraId="74E55EF4" w14:textId="5C56B688" w:rsidR="003B639F" w:rsidRPr="003B639F" w:rsidRDefault="003B639F" w:rsidP="00F6267E">
      <w:pPr>
        <w:rPr>
          <w:b/>
          <w:bCs/>
        </w:rPr>
      </w:pPr>
      <w:r w:rsidRPr="003B639F">
        <w:rPr>
          <w:b/>
          <w:bCs/>
        </w:rPr>
        <w:fldChar w:fldCharType="begin"/>
      </w:r>
      <w:r w:rsidRPr="003B639F">
        <w:rPr>
          <w:b/>
          <w:bCs/>
        </w:rPr>
        <w:instrText xml:space="preserve"> REF _Ref101772193 \h </w:instrText>
      </w:r>
      <w:r w:rsidRPr="003B639F">
        <w:rPr>
          <w:b/>
          <w:bCs/>
        </w:rPr>
      </w:r>
      <w:r>
        <w:rPr>
          <w:b/>
          <w:bCs/>
        </w:rPr>
        <w:instrText xml:space="preserve"> \* MERGEFORMAT </w:instrText>
      </w:r>
      <w:r w:rsidRPr="003B639F">
        <w:rPr>
          <w:b/>
          <w:bCs/>
        </w:rPr>
        <w:fldChar w:fldCharType="separate"/>
      </w:r>
      <w:r w:rsidRPr="003B639F">
        <w:rPr>
          <w:b/>
          <w:bCs/>
        </w:rPr>
        <w:t xml:space="preserve">Observation </w:t>
      </w:r>
      <w:r w:rsidRPr="003B639F">
        <w:rPr>
          <w:b/>
          <w:bCs/>
          <w:noProof/>
        </w:rPr>
        <w:t>1</w:t>
      </w:r>
      <w:r w:rsidRPr="003B639F">
        <w:rPr>
          <w:b/>
          <w:bCs/>
        </w:rPr>
        <w:t>: A slight increase in measurement grid points for the beam peak search can be observed for FR2-2 when compared to FR2-1.</w:t>
      </w:r>
      <w:r w:rsidRPr="003B639F">
        <w:rPr>
          <w:b/>
          <w:bCs/>
        </w:rPr>
        <w:fldChar w:fldCharType="end"/>
      </w:r>
    </w:p>
    <w:p w14:paraId="18572FDE" w14:textId="05A5616B" w:rsidR="003B639F" w:rsidRPr="003B639F" w:rsidRDefault="003B639F" w:rsidP="00F6267E">
      <w:pPr>
        <w:rPr>
          <w:b/>
          <w:bCs/>
        </w:rPr>
      </w:pPr>
      <w:r w:rsidRPr="003B639F">
        <w:rPr>
          <w:b/>
          <w:bCs/>
        </w:rPr>
        <w:fldChar w:fldCharType="begin"/>
      </w:r>
      <w:r w:rsidRPr="003B639F">
        <w:rPr>
          <w:b/>
          <w:bCs/>
        </w:rPr>
        <w:instrText xml:space="preserve"> REF _Ref101772194 \h </w:instrText>
      </w:r>
      <w:r w:rsidRPr="003B639F">
        <w:rPr>
          <w:b/>
          <w:bCs/>
        </w:rPr>
      </w:r>
      <w:r>
        <w:rPr>
          <w:b/>
          <w:bCs/>
        </w:rPr>
        <w:instrText xml:space="preserve"> \* MERGEFORMAT </w:instrText>
      </w:r>
      <w:r w:rsidRPr="003B639F">
        <w:rPr>
          <w:b/>
          <w:bCs/>
        </w:rPr>
        <w:fldChar w:fldCharType="separate"/>
      </w:r>
      <w:r w:rsidRPr="003B639F">
        <w:rPr>
          <w:b/>
          <w:bCs/>
        </w:rPr>
        <w:t xml:space="preserve">Observation </w:t>
      </w:r>
      <w:r w:rsidRPr="003B639F">
        <w:rPr>
          <w:b/>
          <w:bCs/>
          <w:noProof/>
        </w:rPr>
        <w:t>2</w:t>
      </w:r>
      <w:r w:rsidRPr="003B639F">
        <w:rPr>
          <w:b/>
          <w:bCs/>
        </w:rPr>
        <w:t xml:space="preserve">: A slight increase in measurement grid points for the </w:t>
      </w:r>
      <w:r w:rsidRPr="003B639F">
        <w:rPr>
          <w:b/>
          <w:bCs/>
        </w:rPr>
        <w:t>spherical coverage test</w:t>
      </w:r>
      <w:r w:rsidRPr="003B639F">
        <w:rPr>
          <w:b/>
          <w:bCs/>
        </w:rPr>
        <w:t xml:space="preserve"> can be observed for FR2-2 when compared to FR2-1</w:t>
      </w:r>
      <w:r w:rsidRPr="003B639F">
        <w:rPr>
          <w:b/>
          <w:bCs/>
        </w:rPr>
        <w:t xml:space="preserve"> with a slight increase in MU</w:t>
      </w:r>
      <w:r w:rsidRPr="003B639F">
        <w:rPr>
          <w:b/>
          <w:bCs/>
        </w:rPr>
        <w:t>.</w:t>
      </w:r>
      <w:r w:rsidRPr="003B639F">
        <w:rPr>
          <w:b/>
          <w:bCs/>
        </w:rPr>
        <w:fldChar w:fldCharType="end"/>
      </w:r>
    </w:p>
    <w:p w14:paraId="094FE8C6" w14:textId="3496E977" w:rsidR="003B639F" w:rsidRPr="003B639F" w:rsidRDefault="003B639F" w:rsidP="00F6267E">
      <w:pPr>
        <w:rPr>
          <w:b/>
          <w:bCs/>
        </w:rPr>
      </w:pPr>
      <w:r w:rsidRPr="003B639F">
        <w:rPr>
          <w:b/>
          <w:bCs/>
        </w:rPr>
        <w:fldChar w:fldCharType="begin"/>
      </w:r>
      <w:r w:rsidRPr="003B639F">
        <w:rPr>
          <w:b/>
          <w:bCs/>
        </w:rPr>
        <w:instrText xml:space="preserve"> REF _Ref101772195 \h </w:instrText>
      </w:r>
      <w:r w:rsidRPr="003B639F">
        <w:rPr>
          <w:b/>
          <w:bCs/>
        </w:rPr>
      </w:r>
      <w:r>
        <w:rPr>
          <w:b/>
          <w:bCs/>
        </w:rPr>
        <w:instrText xml:space="preserve"> \* MERGEFORMAT </w:instrText>
      </w:r>
      <w:r w:rsidRPr="003B639F">
        <w:rPr>
          <w:b/>
          <w:bCs/>
        </w:rPr>
        <w:fldChar w:fldCharType="separate"/>
      </w:r>
      <w:r w:rsidRPr="003B639F">
        <w:rPr>
          <w:b/>
          <w:bCs/>
        </w:rPr>
        <w:t xml:space="preserve">Observation </w:t>
      </w:r>
      <w:r w:rsidRPr="003B639F">
        <w:rPr>
          <w:b/>
          <w:bCs/>
          <w:noProof/>
        </w:rPr>
        <w:t>3</w:t>
      </w:r>
      <w:r w:rsidRPr="003B639F">
        <w:rPr>
          <w:b/>
          <w:bCs/>
        </w:rPr>
        <w:t xml:space="preserve">: A slight increase in measurement grid points for the </w:t>
      </w:r>
      <w:r w:rsidRPr="003B639F">
        <w:rPr>
          <w:b/>
          <w:bCs/>
        </w:rPr>
        <w:t>TRP</w:t>
      </w:r>
      <w:r w:rsidRPr="003B639F">
        <w:rPr>
          <w:b/>
          <w:bCs/>
        </w:rPr>
        <w:t xml:space="preserve"> test can be observed for FR2-2 when compared to FR2-1 with </w:t>
      </w:r>
      <w:r w:rsidRPr="003B639F">
        <w:rPr>
          <w:b/>
          <w:bCs/>
        </w:rPr>
        <w:t>similar</w:t>
      </w:r>
      <w:r w:rsidRPr="003B639F">
        <w:rPr>
          <w:b/>
          <w:bCs/>
        </w:rPr>
        <w:t xml:space="preserve"> MU</w:t>
      </w:r>
      <w:r w:rsidRPr="003B639F">
        <w:rPr>
          <w:b/>
          <w:bCs/>
        </w:rPr>
        <w:t>s</w:t>
      </w:r>
      <w:r w:rsidRPr="003B639F">
        <w:rPr>
          <w:b/>
          <w:bCs/>
        </w:rPr>
        <w:t>.</w:t>
      </w:r>
      <w:r w:rsidRPr="003B639F">
        <w:rPr>
          <w:b/>
          <w:bCs/>
        </w:rPr>
        <w:fldChar w:fldCharType="end"/>
      </w:r>
    </w:p>
    <w:p w14:paraId="0B7D2DE7" w14:textId="1C87386C" w:rsidR="003B639F" w:rsidRPr="003B639F" w:rsidRDefault="003B639F" w:rsidP="00F6267E">
      <w:pPr>
        <w:rPr>
          <w:b/>
          <w:bCs/>
        </w:rPr>
      </w:pPr>
      <w:r w:rsidRPr="003B639F">
        <w:rPr>
          <w:b/>
          <w:bCs/>
        </w:rPr>
        <w:fldChar w:fldCharType="begin"/>
      </w:r>
      <w:r w:rsidRPr="003B639F">
        <w:rPr>
          <w:b/>
          <w:bCs/>
        </w:rPr>
        <w:instrText xml:space="preserve"> REF _Ref101772196 \h </w:instrText>
      </w:r>
      <w:r w:rsidRPr="003B639F">
        <w:rPr>
          <w:b/>
          <w:bCs/>
        </w:rPr>
      </w:r>
      <w:r>
        <w:rPr>
          <w:b/>
          <w:bCs/>
        </w:rPr>
        <w:instrText xml:space="preserve"> \* MERGEFORMAT </w:instrText>
      </w:r>
      <w:r w:rsidRPr="003B639F">
        <w:rPr>
          <w:b/>
          <w:bCs/>
        </w:rPr>
        <w:fldChar w:fldCharType="separate"/>
      </w:r>
      <w:r w:rsidRPr="003B639F">
        <w:rPr>
          <w:b/>
          <w:bCs/>
        </w:rPr>
        <w:t xml:space="preserve">Proposal </w:t>
      </w:r>
      <w:r w:rsidRPr="003B639F">
        <w:rPr>
          <w:b/>
          <w:bCs/>
          <w:noProof/>
        </w:rPr>
        <w:t>1</w:t>
      </w:r>
      <w:r w:rsidRPr="003B639F">
        <w:rPr>
          <w:b/>
          <w:bCs/>
        </w:rPr>
        <w:t xml:space="preserve">: </w:t>
      </w:r>
      <w:r w:rsidRPr="003B639F">
        <w:rPr>
          <w:b/>
          <w:bCs/>
        </w:rPr>
        <w:t xml:space="preserve">If the UE antenna assumptions can be confirmed, include the measurement grid assumptions in </w:t>
      </w:r>
      <w:r w:rsidRPr="003B639F">
        <w:rPr>
          <w:b/>
          <w:bCs/>
        </w:rPr>
        <w:t>[6].</w:t>
      </w:r>
      <w:r w:rsidRPr="003B639F">
        <w:rPr>
          <w:b/>
          <w:bCs/>
        </w:rPr>
        <w:fldChar w:fldCharType="end"/>
      </w:r>
    </w:p>
    <w:p w14:paraId="5CCB1538" w14:textId="77777777" w:rsidR="00CB54AD" w:rsidRDefault="00CB54AD" w:rsidP="00CB54AD">
      <w:pPr>
        <w:pStyle w:val="Heading1"/>
        <w:numPr>
          <w:ilvl w:val="0"/>
          <w:numId w:val="42"/>
        </w:numPr>
        <w:ind w:left="360"/>
      </w:pPr>
      <w:r>
        <w:t>References</w:t>
      </w:r>
    </w:p>
    <w:p w14:paraId="57E68977" w14:textId="33AD440D" w:rsidR="003404F4" w:rsidRDefault="00CD26DE" w:rsidP="00295DB6">
      <w:pPr>
        <w:pStyle w:val="ListParagraph"/>
        <w:widowControl w:val="0"/>
        <w:numPr>
          <w:ilvl w:val="0"/>
          <w:numId w:val="5"/>
        </w:numPr>
        <w:spacing w:after="0" w:line="240" w:lineRule="auto"/>
      </w:pPr>
      <w:bookmarkStart w:id="12" w:name="_Ref101181888"/>
      <w:r w:rsidRPr="00CD26DE">
        <w:t>R4-2203636</w:t>
      </w:r>
      <w:r>
        <w:t xml:space="preserve">, </w:t>
      </w:r>
      <w:r w:rsidRPr="00CD26DE">
        <w:t>On FR2-2 Antenna Assumptions</w:t>
      </w:r>
      <w:r>
        <w:t xml:space="preserve">, Keysight Technologies, </w:t>
      </w:r>
      <w:r w:rsidRPr="00CD26DE">
        <w:t>3GPP TSG-RAN WG4 Meeting # 102-e</w:t>
      </w:r>
      <w:r>
        <w:t>, February 2022</w:t>
      </w:r>
      <w:bookmarkEnd w:id="12"/>
    </w:p>
    <w:p w14:paraId="6C681B75" w14:textId="7A87A459" w:rsidR="00295DB6" w:rsidRDefault="00295DB6" w:rsidP="00295DB6">
      <w:pPr>
        <w:pStyle w:val="ListParagraph"/>
        <w:widowControl w:val="0"/>
        <w:numPr>
          <w:ilvl w:val="0"/>
          <w:numId w:val="5"/>
        </w:numPr>
        <w:spacing w:after="0" w:line="240" w:lineRule="auto"/>
      </w:pPr>
      <w:bookmarkStart w:id="13" w:name="_Ref101182057"/>
      <w:r w:rsidRPr="00295DB6">
        <w:t>R4-2203079</w:t>
      </w:r>
      <w:r>
        <w:t xml:space="preserve">, </w:t>
      </w:r>
      <w:r w:rsidRPr="00295DB6">
        <w:t>WF on OTA test methods for FR2-2</w:t>
      </w:r>
      <w:r>
        <w:t xml:space="preserve">, </w:t>
      </w:r>
      <w:r w:rsidRPr="00295DB6">
        <w:t>Intel Corporation</w:t>
      </w:r>
      <w:r>
        <w:t xml:space="preserve">, </w:t>
      </w:r>
      <w:r w:rsidRPr="00295DB6">
        <w:t>3GPP TSG-RAN WG4 Meeting # 101-bis-e</w:t>
      </w:r>
      <w:r>
        <w:t>, January 2022</w:t>
      </w:r>
    </w:p>
    <w:p w14:paraId="19187DCB" w14:textId="136D8A87" w:rsidR="00CD26DE" w:rsidRDefault="00CD26DE" w:rsidP="00295DB6">
      <w:pPr>
        <w:pStyle w:val="ListParagraph"/>
        <w:widowControl w:val="0"/>
        <w:numPr>
          <w:ilvl w:val="0"/>
          <w:numId w:val="5"/>
        </w:numPr>
        <w:spacing w:after="0" w:line="240" w:lineRule="auto"/>
      </w:pPr>
      <w:bookmarkStart w:id="14" w:name="_Ref101182379"/>
      <w:r w:rsidRPr="00CD26DE">
        <w:t>R4-2207201</w:t>
      </w:r>
      <w:r>
        <w:t xml:space="preserve">, </w:t>
      </w:r>
      <w:r w:rsidRPr="00CD26DE">
        <w:t>WF on FR2-2 OTA test methods</w:t>
      </w:r>
      <w:r>
        <w:t xml:space="preserve">, Intel Corporation, </w:t>
      </w:r>
      <w:r w:rsidRPr="00CD26DE">
        <w:t>3GPP TSG-RAN WG4 Meeting # 102-e</w:t>
      </w:r>
      <w:r>
        <w:t>, March 2022</w:t>
      </w:r>
      <w:bookmarkEnd w:id="13"/>
      <w:bookmarkEnd w:id="14"/>
    </w:p>
    <w:p w14:paraId="17EE600D" w14:textId="77777777" w:rsidR="00B250F9" w:rsidRDefault="00B250F9" w:rsidP="00295DB6">
      <w:pPr>
        <w:pStyle w:val="ListParagraph"/>
        <w:widowControl w:val="0"/>
        <w:numPr>
          <w:ilvl w:val="0"/>
          <w:numId w:val="5"/>
        </w:numPr>
        <w:spacing w:after="0" w:line="240" w:lineRule="auto"/>
      </w:pPr>
      <w:bookmarkStart w:id="15" w:name="_Ref101184241"/>
      <w:bookmarkStart w:id="16" w:name="_Hlk68100749"/>
      <w:r w:rsidRPr="00151258">
        <w:t>TR38.810, Study on test methods, V16.</w:t>
      </w:r>
      <w:r>
        <w:t>6</w:t>
      </w:r>
      <w:r w:rsidRPr="00151258">
        <w:t>.</w:t>
      </w:r>
      <w:r>
        <w:t>1</w:t>
      </w:r>
      <w:r w:rsidRPr="00151258">
        <w:t xml:space="preserve"> (20</w:t>
      </w:r>
      <w:r>
        <w:t>20</w:t>
      </w:r>
      <w:r w:rsidRPr="00151258">
        <w:t>-</w:t>
      </w:r>
      <w:r>
        <w:t>09</w:t>
      </w:r>
      <w:r w:rsidRPr="00151258">
        <w:t>)</w:t>
      </w:r>
      <w:bookmarkEnd w:id="15"/>
    </w:p>
    <w:p w14:paraId="3D80C46C" w14:textId="49E6022D" w:rsidR="00295DB6" w:rsidRPr="00151258" w:rsidRDefault="00295DB6" w:rsidP="00295DB6">
      <w:pPr>
        <w:pStyle w:val="ListParagraph"/>
        <w:widowControl w:val="0"/>
        <w:numPr>
          <w:ilvl w:val="0"/>
          <w:numId w:val="5"/>
        </w:numPr>
        <w:spacing w:after="0" w:line="240" w:lineRule="auto"/>
      </w:pPr>
      <w:bookmarkStart w:id="17" w:name="_Ref101184475"/>
      <w:r w:rsidRPr="00151258">
        <w:t>TS 38.521-2, User Equipment (UE) conformance specification; Radio transmission and reception; Part 2: Range 2 Standalone, V16.</w:t>
      </w:r>
      <w:r>
        <w:t>11.</w:t>
      </w:r>
      <w:r w:rsidRPr="00151258">
        <w:t>0 (</w:t>
      </w:r>
      <w:r>
        <w:t>2022-03</w:t>
      </w:r>
      <w:r w:rsidRPr="00151258">
        <w:t>)</w:t>
      </w:r>
      <w:bookmarkEnd w:id="17"/>
    </w:p>
    <w:p w14:paraId="5C4CED86" w14:textId="21A7CA1C" w:rsidR="00CD26DE" w:rsidRPr="00354167" w:rsidRDefault="007A272B" w:rsidP="007A272B">
      <w:pPr>
        <w:pStyle w:val="ListParagraph"/>
        <w:numPr>
          <w:ilvl w:val="0"/>
          <w:numId w:val="5"/>
        </w:numPr>
      </w:pPr>
      <w:bookmarkStart w:id="18" w:name="_Ref101771927"/>
      <w:bookmarkEnd w:id="16"/>
      <w:r w:rsidRPr="007A272B">
        <w:t>TR 38.884, Study on enhanced test methods for FR2 NR UEs, V18.0.0 (2022-03)</w:t>
      </w:r>
      <w:bookmarkEnd w:id="18"/>
    </w:p>
    <w:sectPr w:rsidR="00CD26DE" w:rsidRPr="0035416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F1531A" w14:textId="77777777" w:rsidR="00E34241" w:rsidRDefault="00E34241">
      <w:r>
        <w:separator/>
      </w:r>
    </w:p>
  </w:endnote>
  <w:endnote w:type="continuationSeparator" w:id="0">
    <w:p w14:paraId="14D1C775" w14:textId="77777777" w:rsidR="00E34241" w:rsidRDefault="00E34241">
      <w:r>
        <w:continuationSeparator/>
      </w:r>
    </w:p>
  </w:endnote>
  <w:endnote w:type="continuationNotice" w:id="1">
    <w:p w14:paraId="246D72E6" w14:textId="77777777" w:rsidR="00E34241" w:rsidRDefault="00E342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69DCE" w14:textId="77777777" w:rsidR="00E34241" w:rsidRDefault="00E34241">
      <w:r>
        <w:separator/>
      </w:r>
    </w:p>
  </w:footnote>
  <w:footnote w:type="continuationSeparator" w:id="0">
    <w:p w14:paraId="5BA4AC00" w14:textId="77777777" w:rsidR="00E34241" w:rsidRDefault="00E34241">
      <w:r>
        <w:continuationSeparator/>
      </w:r>
    </w:p>
  </w:footnote>
  <w:footnote w:type="continuationNotice" w:id="1">
    <w:p w14:paraId="3600E07D" w14:textId="77777777" w:rsidR="00E34241" w:rsidRDefault="00E3424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0"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1ED919DB"/>
    <w:multiLevelType w:val="hybridMultilevel"/>
    <w:tmpl w:val="339C5818"/>
    <w:lvl w:ilvl="0" w:tplc="025AB05E">
      <w:start w:val="1"/>
      <w:numFmt w:val="bullet"/>
      <w:lvlText w:val=""/>
      <w:lvlJc w:val="left"/>
      <w:pPr>
        <w:ind w:left="720" w:hanging="360"/>
      </w:pPr>
      <w:rPr>
        <w:rFonts w:ascii="Wingdings" w:hAnsi="Wingdings" w:hint="default"/>
        <w:color w:val="000000" w:themeColor="text1"/>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9"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2"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5"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6"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7"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6"/>
  </w:num>
  <w:num w:numId="5">
    <w:abstractNumId w:val="2"/>
  </w:num>
  <w:num w:numId="6">
    <w:abstractNumId w:val="19"/>
  </w:num>
  <w:num w:numId="7">
    <w:abstractNumId w:val="16"/>
  </w:num>
  <w:num w:numId="8">
    <w:abstractNumId w:val="10"/>
  </w:num>
  <w:num w:numId="9">
    <w:abstractNumId w:val="24"/>
  </w:num>
  <w:num w:numId="10">
    <w:abstractNumId w:val="7"/>
  </w:num>
  <w:num w:numId="11">
    <w:abstractNumId w:val="29"/>
  </w:num>
  <w:num w:numId="12">
    <w:abstractNumId w:val="14"/>
  </w:num>
  <w:num w:numId="13">
    <w:abstractNumId w:val="28"/>
  </w:num>
  <w:num w:numId="14">
    <w:abstractNumId w:val="35"/>
  </w:num>
  <w:num w:numId="15">
    <w:abstractNumId w:val="12"/>
  </w:num>
  <w:num w:numId="16">
    <w:abstractNumId w:val="34"/>
  </w:num>
  <w:num w:numId="17">
    <w:abstractNumId w:val="9"/>
  </w:num>
  <w:num w:numId="18">
    <w:abstractNumId w:val="26"/>
  </w:num>
  <w:num w:numId="19">
    <w:abstractNumId w:val="22"/>
  </w:num>
  <w:num w:numId="20">
    <w:abstractNumId w:val="27"/>
  </w:num>
  <w:num w:numId="21">
    <w:abstractNumId w:val="33"/>
  </w:num>
  <w:num w:numId="22">
    <w:abstractNumId w:val="25"/>
  </w:num>
  <w:num w:numId="23">
    <w:abstractNumId w:val="23"/>
  </w:num>
  <w:num w:numId="24">
    <w:abstractNumId w:val="11"/>
  </w:num>
  <w:num w:numId="25">
    <w:abstractNumId w:val="5"/>
  </w:num>
  <w:num w:numId="26">
    <w:abstractNumId w:val="26"/>
  </w:num>
  <w:num w:numId="27">
    <w:abstractNumId w:val="26"/>
  </w:num>
  <w:num w:numId="28">
    <w:abstractNumId w:val="26"/>
  </w:num>
  <w:num w:numId="29">
    <w:abstractNumId w:val="20"/>
  </w:num>
  <w:num w:numId="30">
    <w:abstractNumId w:val="18"/>
  </w:num>
  <w:num w:numId="31">
    <w:abstractNumId w:val="38"/>
  </w:num>
  <w:num w:numId="32">
    <w:abstractNumId w:val="31"/>
  </w:num>
  <w:num w:numId="33">
    <w:abstractNumId w:val="37"/>
  </w:num>
  <w:num w:numId="34">
    <w:abstractNumId w:val="17"/>
  </w:num>
  <w:num w:numId="35">
    <w:abstractNumId w:val="8"/>
  </w:num>
  <w:num w:numId="36">
    <w:abstractNumId w:val="1"/>
  </w:num>
  <w:num w:numId="37">
    <w:abstractNumId w:val="30"/>
  </w:num>
  <w:num w:numId="38">
    <w:abstractNumId w:val="15"/>
  </w:num>
  <w:num w:numId="39">
    <w:abstractNumId w:val="4"/>
  </w:num>
  <w:num w:numId="40">
    <w:abstractNumId w:val="32"/>
  </w:num>
  <w:num w:numId="41">
    <w:abstractNumId w:val="21"/>
  </w:num>
  <w:num w:numId="42">
    <w:abstractNumId w:val="6"/>
  </w:num>
  <w:num w:numId="43">
    <w:abstractNumId w:val="32"/>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F6E"/>
    <w:rsid w:val="000136CE"/>
    <w:rsid w:val="00013946"/>
    <w:rsid w:val="00015E33"/>
    <w:rsid w:val="00017A04"/>
    <w:rsid w:val="00017C05"/>
    <w:rsid w:val="000200FB"/>
    <w:rsid w:val="0002191D"/>
    <w:rsid w:val="000262D5"/>
    <w:rsid w:val="000266A0"/>
    <w:rsid w:val="00026A7D"/>
    <w:rsid w:val="00031C1D"/>
    <w:rsid w:val="00032F36"/>
    <w:rsid w:val="00036AF0"/>
    <w:rsid w:val="000379D6"/>
    <w:rsid w:val="000418FC"/>
    <w:rsid w:val="000439E6"/>
    <w:rsid w:val="0004477C"/>
    <w:rsid w:val="0004678D"/>
    <w:rsid w:val="00052390"/>
    <w:rsid w:val="000547AB"/>
    <w:rsid w:val="0005509D"/>
    <w:rsid w:val="00055873"/>
    <w:rsid w:val="00056560"/>
    <w:rsid w:val="0005725C"/>
    <w:rsid w:val="000606FD"/>
    <w:rsid w:val="000628C6"/>
    <w:rsid w:val="00064500"/>
    <w:rsid w:val="000713C9"/>
    <w:rsid w:val="00077333"/>
    <w:rsid w:val="00082566"/>
    <w:rsid w:val="000833ED"/>
    <w:rsid w:val="00083540"/>
    <w:rsid w:val="00084983"/>
    <w:rsid w:val="00087F53"/>
    <w:rsid w:val="00093E7E"/>
    <w:rsid w:val="00096EE4"/>
    <w:rsid w:val="000A08B0"/>
    <w:rsid w:val="000A12C7"/>
    <w:rsid w:val="000A2A86"/>
    <w:rsid w:val="000A43B4"/>
    <w:rsid w:val="000B25D3"/>
    <w:rsid w:val="000C2440"/>
    <w:rsid w:val="000C3463"/>
    <w:rsid w:val="000C47D0"/>
    <w:rsid w:val="000C640F"/>
    <w:rsid w:val="000D202B"/>
    <w:rsid w:val="000D39C6"/>
    <w:rsid w:val="000D6B69"/>
    <w:rsid w:val="000D6CFC"/>
    <w:rsid w:val="000E24A4"/>
    <w:rsid w:val="00102BA0"/>
    <w:rsid w:val="00110A88"/>
    <w:rsid w:val="00111826"/>
    <w:rsid w:val="00114DB9"/>
    <w:rsid w:val="001174D8"/>
    <w:rsid w:val="00121323"/>
    <w:rsid w:val="00122845"/>
    <w:rsid w:val="00124141"/>
    <w:rsid w:val="001258E2"/>
    <w:rsid w:val="0013001E"/>
    <w:rsid w:val="00130A4D"/>
    <w:rsid w:val="0014005E"/>
    <w:rsid w:val="00140084"/>
    <w:rsid w:val="0014206F"/>
    <w:rsid w:val="001423A1"/>
    <w:rsid w:val="001430FC"/>
    <w:rsid w:val="001458A3"/>
    <w:rsid w:val="00150099"/>
    <w:rsid w:val="00152172"/>
    <w:rsid w:val="00153528"/>
    <w:rsid w:val="00157AD8"/>
    <w:rsid w:val="00166A36"/>
    <w:rsid w:val="001741AE"/>
    <w:rsid w:val="001758FB"/>
    <w:rsid w:val="001931FF"/>
    <w:rsid w:val="001960AD"/>
    <w:rsid w:val="00196F9F"/>
    <w:rsid w:val="0019763D"/>
    <w:rsid w:val="001A08AA"/>
    <w:rsid w:val="001A17A5"/>
    <w:rsid w:val="001A2BC5"/>
    <w:rsid w:val="001A2EF9"/>
    <w:rsid w:val="001A3030"/>
    <w:rsid w:val="001A3120"/>
    <w:rsid w:val="001A3BFA"/>
    <w:rsid w:val="001B2108"/>
    <w:rsid w:val="001B231F"/>
    <w:rsid w:val="001B425D"/>
    <w:rsid w:val="001B6A72"/>
    <w:rsid w:val="001C00AA"/>
    <w:rsid w:val="001C0CFD"/>
    <w:rsid w:val="001C2F29"/>
    <w:rsid w:val="001C3A35"/>
    <w:rsid w:val="001C3CCB"/>
    <w:rsid w:val="001C4A15"/>
    <w:rsid w:val="001C687E"/>
    <w:rsid w:val="001D0D8E"/>
    <w:rsid w:val="001D7D91"/>
    <w:rsid w:val="001D7F4A"/>
    <w:rsid w:val="001E1CF6"/>
    <w:rsid w:val="001E4636"/>
    <w:rsid w:val="001E6DC6"/>
    <w:rsid w:val="001F5795"/>
    <w:rsid w:val="001F706B"/>
    <w:rsid w:val="00200996"/>
    <w:rsid w:val="0020314E"/>
    <w:rsid w:val="00204999"/>
    <w:rsid w:val="00206FE6"/>
    <w:rsid w:val="0020758D"/>
    <w:rsid w:val="00207AD7"/>
    <w:rsid w:val="00207F74"/>
    <w:rsid w:val="00210D55"/>
    <w:rsid w:val="0021155C"/>
    <w:rsid w:val="00212373"/>
    <w:rsid w:val="002138EA"/>
    <w:rsid w:val="00214FBD"/>
    <w:rsid w:val="00222897"/>
    <w:rsid w:val="0022419C"/>
    <w:rsid w:val="00234D1C"/>
    <w:rsid w:val="00235394"/>
    <w:rsid w:val="00235813"/>
    <w:rsid w:val="00236683"/>
    <w:rsid w:val="0023752C"/>
    <w:rsid w:val="00241A14"/>
    <w:rsid w:val="00243D4F"/>
    <w:rsid w:val="00244EEE"/>
    <w:rsid w:val="0025114C"/>
    <w:rsid w:val="00251340"/>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2AB5"/>
    <w:rsid w:val="00287895"/>
    <w:rsid w:val="00287C09"/>
    <w:rsid w:val="0029076F"/>
    <w:rsid w:val="00293732"/>
    <w:rsid w:val="00295DB6"/>
    <w:rsid w:val="00296B9F"/>
    <w:rsid w:val="002A4112"/>
    <w:rsid w:val="002A7017"/>
    <w:rsid w:val="002A7F4B"/>
    <w:rsid w:val="002B01BA"/>
    <w:rsid w:val="002B11F7"/>
    <w:rsid w:val="002B3F06"/>
    <w:rsid w:val="002B4D62"/>
    <w:rsid w:val="002C1E1B"/>
    <w:rsid w:val="002C2040"/>
    <w:rsid w:val="002C7D13"/>
    <w:rsid w:val="002D0D61"/>
    <w:rsid w:val="002D44BD"/>
    <w:rsid w:val="002D69EF"/>
    <w:rsid w:val="002E465A"/>
    <w:rsid w:val="002E47F7"/>
    <w:rsid w:val="002E5F31"/>
    <w:rsid w:val="002F4093"/>
    <w:rsid w:val="002F47E3"/>
    <w:rsid w:val="002F5FAD"/>
    <w:rsid w:val="00300544"/>
    <w:rsid w:val="003045CD"/>
    <w:rsid w:val="00306D8E"/>
    <w:rsid w:val="00307D2C"/>
    <w:rsid w:val="00313528"/>
    <w:rsid w:val="003209E5"/>
    <w:rsid w:val="00323717"/>
    <w:rsid w:val="00324F35"/>
    <w:rsid w:val="00326CFF"/>
    <w:rsid w:val="00331E19"/>
    <w:rsid w:val="00332820"/>
    <w:rsid w:val="003340C5"/>
    <w:rsid w:val="0033593B"/>
    <w:rsid w:val="003404F4"/>
    <w:rsid w:val="00342EC7"/>
    <w:rsid w:val="00344657"/>
    <w:rsid w:val="00344BCD"/>
    <w:rsid w:val="003450DD"/>
    <w:rsid w:val="00347574"/>
    <w:rsid w:val="00352233"/>
    <w:rsid w:val="00353724"/>
    <w:rsid w:val="00353E42"/>
    <w:rsid w:val="00354167"/>
    <w:rsid w:val="00364DC7"/>
    <w:rsid w:val="00365EF7"/>
    <w:rsid w:val="00366F9B"/>
    <w:rsid w:val="00367724"/>
    <w:rsid w:val="003679B5"/>
    <w:rsid w:val="00372D98"/>
    <w:rsid w:val="00373148"/>
    <w:rsid w:val="00374836"/>
    <w:rsid w:val="00380C5B"/>
    <w:rsid w:val="00380F33"/>
    <w:rsid w:val="00381C22"/>
    <w:rsid w:val="003834B0"/>
    <w:rsid w:val="00384387"/>
    <w:rsid w:val="003907E3"/>
    <w:rsid w:val="0039361E"/>
    <w:rsid w:val="0039509E"/>
    <w:rsid w:val="00397CC0"/>
    <w:rsid w:val="003A1A50"/>
    <w:rsid w:val="003A1E08"/>
    <w:rsid w:val="003A6034"/>
    <w:rsid w:val="003B1087"/>
    <w:rsid w:val="003B1AA0"/>
    <w:rsid w:val="003B478A"/>
    <w:rsid w:val="003B5AB0"/>
    <w:rsid w:val="003B639F"/>
    <w:rsid w:val="003B7F37"/>
    <w:rsid w:val="003C4291"/>
    <w:rsid w:val="003C47CE"/>
    <w:rsid w:val="003C5232"/>
    <w:rsid w:val="003D1D54"/>
    <w:rsid w:val="003D2C79"/>
    <w:rsid w:val="003D5D10"/>
    <w:rsid w:val="003D7CEB"/>
    <w:rsid w:val="003E300F"/>
    <w:rsid w:val="003E39F0"/>
    <w:rsid w:val="003E3F2D"/>
    <w:rsid w:val="003E567C"/>
    <w:rsid w:val="003E6A73"/>
    <w:rsid w:val="003F0282"/>
    <w:rsid w:val="003F1AEA"/>
    <w:rsid w:val="003F1D13"/>
    <w:rsid w:val="003F6395"/>
    <w:rsid w:val="003F6FF1"/>
    <w:rsid w:val="004006F6"/>
    <w:rsid w:val="0040097C"/>
    <w:rsid w:val="0040139E"/>
    <w:rsid w:val="004026D0"/>
    <w:rsid w:val="004048A9"/>
    <w:rsid w:val="00413C3E"/>
    <w:rsid w:val="00413C6C"/>
    <w:rsid w:val="0041477A"/>
    <w:rsid w:val="00417068"/>
    <w:rsid w:val="004204BB"/>
    <w:rsid w:val="00420AD5"/>
    <w:rsid w:val="00426356"/>
    <w:rsid w:val="00427B4E"/>
    <w:rsid w:val="00431287"/>
    <w:rsid w:val="004420B4"/>
    <w:rsid w:val="00444225"/>
    <w:rsid w:val="00445435"/>
    <w:rsid w:val="00456C09"/>
    <w:rsid w:val="0046119F"/>
    <w:rsid w:val="0046266D"/>
    <w:rsid w:val="004665F1"/>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5A33"/>
    <w:rsid w:val="004A044F"/>
    <w:rsid w:val="004A07A1"/>
    <w:rsid w:val="004A17C7"/>
    <w:rsid w:val="004A419F"/>
    <w:rsid w:val="004A6B36"/>
    <w:rsid w:val="004A7D1A"/>
    <w:rsid w:val="004B27EC"/>
    <w:rsid w:val="004C2A16"/>
    <w:rsid w:val="004D0FD5"/>
    <w:rsid w:val="004D5AE5"/>
    <w:rsid w:val="004E2B50"/>
    <w:rsid w:val="004E6319"/>
    <w:rsid w:val="004F08C5"/>
    <w:rsid w:val="004F24A6"/>
    <w:rsid w:val="004F374D"/>
    <w:rsid w:val="004F3D34"/>
    <w:rsid w:val="004F3E0E"/>
    <w:rsid w:val="004F3EB5"/>
    <w:rsid w:val="004F554E"/>
    <w:rsid w:val="004F7A3D"/>
    <w:rsid w:val="004F7C82"/>
    <w:rsid w:val="0050179F"/>
    <w:rsid w:val="00501CEE"/>
    <w:rsid w:val="00505BFA"/>
    <w:rsid w:val="005069C0"/>
    <w:rsid w:val="00511254"/>
    <w:rsid w:val="00512458"/>
    <w:rsid w:val="00513632"/>
    <w:rsid w:val="00517B81"/>
    <w:rsid w:val="00520CFC"/>
    <w:rsid w:val="00522C5E"/>
    <w:rsid w:val="005239FE"/>
    <w:rsid w:val="00526FA7"/>
    <w:rsid w:val="0053435C"/>
    <w:rsid w:val="00541EB9"/>
    <w:rsid w:val="00543311"/>
    <w:rsid w:val="00546367"/>
    <w:rsid w:val="005464FE"/>
    <w:rsid w:val="005471FE"/>
    <w:rsid w:val="00547986"/>
    <w:rsid w:val="00554A16"/>
    <w:rsid w:val="005550DD"/>
    <w:rsid w:val="00555741"/>
    <w:rsid w:val="005603F5"/>
    <w:rsid w:val="005649A1"/>
    <w:rsid w:val="00566838"/>
    <w:rsid w:val="00580542"/>
    <w:rsid w:val="00580587"/>
    <w:rsid w:val="00581E88"/>
    <w:rsid w:val="00583627"/>
    <w:rsid w:val="0058392F"/>
    <w:rsid w:val="00585B23"/>
    <w:rsid w:val="005908D2"/>
    <w:rsid w:val="00592F28"/>
    <w:rsid w:val="00593B56"/>
    <w:rsid w:val="005943B2"/>
    <w:rsid w:val="00595618"/>
    <w:rsid w:val="005A0EDD"/>
    <w:rsid w:val="005A616F"/>
    <w:rsid w:val="005A6F48"/>
    <w:rsid w:val="005B7B7A"/>
    <w:rsid w:val="005C239F"/>
    <w:rsid w:val="005C331B"/>
    <w:rsid w:val="005C4593"/>
    <w:rsid w:val="005D6DA8"/>
    <w:rsid w:val="005E12CD"/>
    <w:rsid w:val="005E2166"/>
    <w:rsid w:val="005E2985"/>
    <w:rsid w:val="005E5D66"/>
    <w:rsid w:val="005F3B1B"/>
    <w:rsid w:val="00607D98"/>
    <w:rsid w:val="0061059A"/>
    <w:rsid w:val="006126CA"/>
    <w:rsid w:val="006131BB"/>
    <w:rsid w:val="00613B1E"/>
    <w:rsid w:val="00614741"/>
    <w:rsid w:val="00616FB0"/>
    <w:rsid w:val="006210C4"/>
    <w:rsid w:val="00622B32"/>
    <w:rsid w:val="00634928"/>
    <w:rsid w:val="00635671"/>
    <w:rsid w:val="00636ABD"/>
    <w:rsid w:val="00641457"/>
    <w:rsid w:val="00643519"/>
    <w:rsid w:val="00645857"/>
    <w:rsid w:val="006468DD"/>
    <w:rsid w:val="00651C2B"/>
    <w:rsid w:val="006537BF"/>
    <w:rsid w:val="00653DF0"/>
    <w:rsid w:val="006543EF"/>
    <w:rsid w:val="0065492A"/>
    <w:rsid w:val="00654D11"/>
    <w:rsid w:val="00656822"/>
    <w:rsid w:val="00656A7B"/>
    <w:rsid w:val="00665AD3"/>
    <w:rsid w:val="00683EDA"/>
    <w:rsid w:val="006856E5"/>
    <w:rsid w:val="006937D0"/>
    <w:rsid w:val="00695755"/>
    <w:rsid w:val="00696304"/>
    <w:rsid w:val="00696BE5"/>
    <w:rsid w:val="00696D0A"/>
    <w:rsid w:val="006974B7"/>
    <w:rsid w:val="006A03F3"/>
    <w:rsid w:val="006A5A2A"/>
    <w:rsid w:val="006A5ED0"/>
    <w:rsid w:val="006B03F1"/>
    <w:rsid w:val="006B0D02"/>
    <w:rsid w:val="006B1C2F"/>
    <w:rsid w:val="006B363D"/>
    <w:rsid w:val="006B39EF"/>
    <w:rsid w:val="006C2AF9"/>
    <w:rsid w:val="006C3A94"/>
    <w:rsid w:val="006C7E35"/>
    <w:rsid w:val="006D132D"/>
    <w:rsid w:val="006D4EC6"/>
    <w:rsid w:val="006D6B1F"/>
    <w:rsid w:val="006E45D9"/>
    <w:rsid w:val="006E5B02"/>
    <w:rsid w:val="006F0D5F"/>
    <w:rsid w:val="006F1DCF"/>
    <w:rsid w:val="006F4830"/>
    <w:rsid w:val="006F4A1A"/>
    <w:rsid w:val="006F5431"/>
    <w:rsid w:val="006F5C22"/>
    <w:rsid w:val="00700488"/>
    <w:rsid w:val="00703F5D"/>
    <w:rsid w:val="00705FF6"/>
    <w:rsid w:val="0070646B"/>
    <w:rsid w:val="007066FA"/>
    <w:rsid w:val="00707941"/>
    <w:rsid w:val="00707CE7"/>
    <w:rsid w:val="00710E16"/>
    <w:rsid w:val="0071466D"/>
    <w:rsid w:val="00714DD6"/>
    <w:rsid w:val="007162EF"/>
    <w:rsid w:val="00720148"/>
    <w:rsid w:val="00720AC9"/>
    <w:rsid w:val="007250C2"/>
    <w:rsid w:val="0072666A"/>
    <w:rsid w:val="00726FD4"/>
    <w:rsid w:val="00727352"/>
    <w:rsid w:val="00727593"/>
    <w:rsid w:val="00727A8D"/>
    <w:rsid w:val="00730547"/>
    <w:rsid w:val="00734F28"/>
    <w:rsid w:val="00735C81"/>
    <w:rsid w:val="00736A17"/>
    <w:rsid w:val="007373B0"/>
    <w:rsid w:val="007403F2"/>
    <w:rsid w:val="00740C81"/>
    <w:rsid w:val="00741775"/>
    <w:rsid w:val="00744CC1"/>
    <w:rsid w:val="0074650E"/>
    <w:rsid w:val="00747AD4"/>
    <w:rsid w:val="00752FA3"/>
    <w:rsid w:val="00770A12"/>
    <w:rsid w:val="00774B17"/>
    <w:rsid w:val="007756A1"/>
    <w:rsid w:val="0078088D"/>
    <w:rsid w:val="00785759"/>
    <w:rsid w:val="00785D03"/>
    <w:rsid w:val="007927CF"/>
    <w:rsid w:val="00797994"/>
    <w:rsid w:val="007A2502"/>
    <w:rsid w:val="007A272B"/>
    <w:rsid w:val="007A4551"/>
    <w:rsid w:val="007A4F68"/>
    <w:rsid w:val="007A5139"/>
    <w:rsid w:val="007A5243"/>
    <w:rsid w:val="007A5B40"/>
    <w:rsid w:val="007A6059"/>
    <w:rsid w:val="007B03C6"/>
    <w:rsid w:val="007B0584"/>
    <w:rsid w:val="007B5856"/>
    <w:rsid w:val="007B6E97"/>
    <w:rsid w:val="007B6FFB"/>
    <w:rsid w:val="007C0BFC"/>
    <w:rsid w:val="007C6DD8"/>
    <w:rsid w:val="007D0054"/>
    <w:rsid w:val="007D258B"/>
    <w:rsid w:val="007D36D3"/>
    <w:rsid w:val="007D3BE3"/>
    <w:rsid w:val="007D6048"/>
    <w:rsid w:val="007E2E0D"/>
    <w:rsid w:val="007E7938"/>
    <w:rsid w:val="007F0138"/>
    <w:rsid w:val="007F0E1E"/>
    <w:rsid w:val="007F0E21"/>
    <w:rsid w:val="007F1535"/>
    <w:rsid w:val="007F39D0"/>
    <w:rsid w:val="007F4B80"/>
    <w:rsid w:val="007F4CAF"/>
    <w:rsid w:val="007F4CCC"/>
    <w:rsid w:val="007F5B12"/>
    <w:rsid w:val="007F62EA"/>
    <w:rsid w:val="007F7064"/>
    <w:rsid w:val="00803E82"/>
    <w:rsid w:val="00804709"/>
    <w:rsid w:val="00807F76"/>
    <w:rsid w:val="008142CC"/>
    <w:rsid w:val="008152DF"/>
    <w:rsid w:val="00816C9D"/>
    <w:rsid w:val="0082033D"/>
    <w:rsid w:val="0082128D"/>
    <w:rsid w:val="0082190B"/>
    <w:rsid w:val="00826B31"/>
    <w:rsid w:val="008278A2"/>
    <w:rsid w:val="00830BED"/>
    <w:rsid w:val="00836C44"/>
    <w:rsid w:val="0083754E"/>
    <w:rsid w:val="00837660"/>
    <w:rsid w:val="00840A11"/>
    <w:rsid w:val="008450F8"/>
    <w:rsid w:val="00845E55"/>
    <w:rsid w:val="00846391"/>
    <w:rsid w:val="00853CDF"/>
    <w:rsid w:val="008541B3"/>
    <w:rsid w:val="008602F7"/>
    <w:rsid w:val="00861C5F"/>
    <w:rsid w:val="008626D8"/>
    <w:rsid w:val="00863644"/>
    <w:rsid w:val="00864950"/>
    <w:rsid w:val="00864B00"/>
    <w:rsid w:val="00870861"/>
    <w:rsid w:val="00884BE6"/>
    <w:rsid w:val="0088503C"/>
    <w:rsid w:val="00885D92"/>
    <w:rsid w:val="00892723"/>
    <w:rsid w:val="00893454"/>
    <w:rsid w:val="00895D05"/>
    <w:rsid w:val="00896533"/>
    <w:rsid w:val="00897A25"/>
    <w:rsid w:val="008A0A78"/>
    <w:rsid w:val="008A1A84"/>
    <w:rsid w:val="008A2D48"/>
    <w:rsid w:val="008A6143"/>
    <w:rsid w:val="008B0529"/>
    <w:rsid w:val="008B1F24"/>
    <w:rsid w:val="008B5C74"/>
    <w:rsid w:val="008C2308"/>
    <w:rsid w:val="008C37C0"/>
    <w:rsid w:val="008C60E9"/>
    <w:rsid w:val="008C7836"/>
    <w:rsid w:val="008D7BED"/>
    <w:rsid w:val="008E4413"/>
    <w:rsid w:val="008E4684"/>
    <w:rsid w:val="008E4F84"/>
    <w:rsid w:val="008E6844"/>
    <w:rsid w:val="008F08D9"/>
    <w:rsid w:val="008F1346"/>
    <w:rsid w:val="008F540C"/>
    <w:rsid w:val="008F7D93"/>
    <w:rsid w:val="0090512F"/>
    <w:rsid w:val="0090524D"/>
    <w:rsid w:val="009064E9"/>
    <w:rsid w:val="009076E4"/>
    <w:rsid w:val="00911B1A"/>
    <w:rsid w:val="00916F35"/>
    <w:rsid w:val="009249BE"/>
    <w:rsid w:val="00925B2A"/>
    <w:rsid w:val="00931702"/>
    <w:rsid w:val="00931918"/>
    <w:rsid w:val="00932F29"/>
    <w:rsid w:val="00937FBD"/>
    <w:rsid w:val="009439E5"/>
    <w:rsid w:val="00945858"/>
    <w:rsid w:val="009514EA"/>
    <w:rsid w:val="00951CC5"/>
    <w:rsid w:val="00952F41"/>
    <w:rsid w:val="0095378B"/>
    <w:rsid w:val="0095392E"/>
    <w:rsid w:val="009564E9"/>
    <w:rsid w:val="00957EF1"/>
    <w:rsid w:val="00964105"/>
    <w:rsid w:val="00970A06"/>
    <w:rsid w:val="0097133C"/>
    <w:rsid w:val="00972528"/>
    <w:rsid w:val="0097539D"/>
    <w:rsid w:val="009767AC"/>
    <w:rsid w:val="00980BEB"/>
    <w:rsid w:val="00980E79"/>
    <w:rsid w:val="00982B7E"/>
    <w:rsid w:val="00983910"/>
    <w:rsid w:val="00984E5F"/>
    <w:rsid w:val="009913F6"/>
    <w:rsid w:val="00992B5F"/>
    <w:rsid w:val="00997D88"/>
    <w:rsid w:val="009A63AD"/>
    <w:rsid w:val="009C0727"/>
    <w:rsid w:val="009C49AE"/>
    <w:rsid w:val="009C4CD4"/>
    <w:rsid w:val="009C6214"/>
    <w:rsid w:val="009D28E0"/>
    <w:rsid w:val="009D343A"/>
    <w:rsid w:val="009D78C2"/>
    <w:rsid w:val="009D7F67"/>
    <w:rsid w:val="009E186C"/>
    <w:rsid w:val="009E3840"/>
    <w:rsid w:val="009E41C5"/>
    <w:rsid w:val="009E448E"/>
    <w:rsid w:val="009E520A"/>
    <w:rsid w:val="009E7AFD"/>
    <w:rsid w:val="009F20D3"/>
    <w:rsid w:val="009F74F4"/>
    <w:rsid w:val="00A079A7"/>
    <w:rsid w:val="00A165D9"/>
    <w:rsid w:val="00A17573"/>
    <w:rsid w:val="00A210B9"/>
    <w:rsid w:val="00A21E15"/>
    <w:rsid w:val="00A22FB6"/>
    <w:rsid w:val="00A2310D"/>
    <w:rsid w:val="00A25AEB"/>
    <w:rsid w:val="00A277B2"/>
    <w:rsid w:val="00A313BC"/>
    <w:rsid w:val="00A320FB"/>
    <w:rsid w:val="00A3540D"/>
    <w:rsid w:val="00A446A0"/>
    <w:rsid w:val="00A4504D"/>
    <w:rsid w:val="00A452C2"/>
    <w:rsid w:val="00A45E4D"/>
    <w:rsid w:val="00A515A6"/>
    <w:rsid w:val="00A51F25"/>
    <w:rsid w:val="00A5215D"/>
    <w:rsid w:val="00A56613"/>
    <w:rsid w:val="00A57698"/>
    <w:rsid w:val="00A60D06"/>
    <w:rsid w:val="00A61E17"/>
    <w:rsid w:val="00A65439"/>
    <w:rsid w:val="00A67306"/>
    <w:rsid w:val="00A67ACD"/>
    <w:rsid w:val="00A71503"/>
    <w:rsid w:val="00A72864"/>
    <w:rsid w:val="00A7302E"/>
    <w:rsid w:val="00A74CFE"/>
    <w:rsid w:val="00A76571"/>
    <w:rsid w:val="00A77EC9"/>
    <w:rsid w:val="00A8094A"/>
    <w:rsid w:val="00A80BEF"/>
    <w:rsid w:val="00A81B15"/>
    <w:rsid w:val="00A82056"/>
    <w:rsid w:val="00A85286"/>
    <w:rsid w:val="00A85DBC"/>
    <w:rsid w:val="00A91132"/>
    <w:rsid w:val="00A97CB6"/>
    <w:rsid w:val="00AA28BF"/>
    <w:rsid w:val="00AA3D6A"/>
    <w:rsid w:val="00AA42AF"/>
    <w:rsid w:val="00AA69E4"/>
    <w:rsid w:val="00AA7169"/>
    <w:rsid w:val="00AA7233"/>
    <w:rsid w:val="00AB0C5E"/>
    <w:rsid w:val="00AB25ED"/>
    <w:rsid w:val="00AB32B3"/>
    <w:rsid w:val="00AB3F85"/>
    <w:rsid w:val="00AB4AC5"/>
    <w:rsid w:val="00AC57B6"/>
    <w:rsid w:val="00AC5BD9"/>
    <w:rsid w:val="00AC6E03"/>
    <w:rsid w:val="00AD17B1"/>
    <w:rsid w:val="00AD4B9B"/>
    <w:rsid w:val="00AD768A"/>
    <w:rsid w:val="00AE116C"/>
    <w:rsid w:val="00AE342A"/>
    <w:rsid w:val="00AE4F0E"/>
    <w:rsid w:val="00AE627B"/>
    <w:rsid w:val="00AE6EAF"/>
    <w:rsid w:val="00AF0F4C"/>
    <w:rsid w:val="00AF3407"/>
    <w:rsid w:val="00AF5AD3"/>
    <w:rsid w:val="00B0589A"/>
    <w:rsid w:val="00B14BC8"/>
    <w:rsid w:val="00B20C57"/>
    <w:rsid w:val="00B21D87"/>
    <w:rsid w:val="00B22ADA"/>
    <w:rsid w:val="00B24E76"/>
    <w:rsid w:val="00B250F9"/>
    <w:rsid w:val="00B334B9"/>
    <w:rsid w:val="00B36208"/>
    <w:rsid w:val="00B3769C"/>
    <w:rsid w:val="00B40C16"/>
    <w:rsid w:val="00B40D30"/>
    <w:rsid w:val="00B426E8"/>
    <w:rsid w:val="00B428B9"/>
    <w:rsid w:val="00B42B91"/>
    <w:rsid w:val="00B43FEC"/>
    <w:rsid w:val="00B478AC"/>
    <w:rsid w:val="00B55D9A"/>
    <w:rsid w:val="00B5661F"/>
    <w:rsid w:val="00B6099D"/>
    <w:rsid w:val="00B62023"/>
    <w:rsid w:val="00B62514"/>
    <w:rsid w:val="00B65101"/>
    <w:rsid w:val="00B7370C"/>
    <w:rsid w:val="00B73955"/>
    <w:rsid w:val="00B75741"/>
    <w:rsid w:val="00B822A0"/>
    <w:rsid w:val="00B83349"/>
    <w:rsid w:val="00B8446C"/>
    <w:rsid w:val="00B85DD7"/>
    <w:rsid w:val="00B92920"/>
    <w:rsid w:val="00B93A4D"/>
    <w:rsid w:val="00B943D6"/>
    <w:rsid w:val="00BA0D2D"/>
    <w:rsid w:val="00BA47FD"/>
    <w:rsid w:val="00BA5EFD"/>
    <w:rsid w:val="00BB2B4D"/>
    <w:rsid w:val="00BB4346"/>
    <w:rsid w:val="00BB43B8"/>
    <w:rsid w:val="00BB53AC"/>
    <w:rsid w:val="00BB5C16"/>
    <w:rsid w:val="00BB7338"/>
    <w:rsid w:val="00BC2D24"/>
    <w:rsid w:val="00BC577A"/>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94B"/>
    <w:rsid w:val="00C14DE6"/>
    <w:rsid w:val="00C15AC6"/>
    <w:rsid w:val="00C16052"/>
    <w:rsid w:val="00C1643C"/>
    <w:rsid w:val="00C209B5"/>
    <w:rsid w:val="00C26EE8"/>
    <w:rsid w:val="00C313B8"/>
    <w:rsid w:val="00C31D69"/>
    <w:rsid w:val="00C401B8"/>
    <w:rsid w:val="00C42EBF"/>
    <w:rsid w:val="00C42F12"/>
    <w:rsid w:val="00C451D8"/>
    <w:rsid w:val="00C475DA"/>
    <w:rsid w:val="00C56792"/>
    <w:rsid w:val="00C6278C"/>
    <w:rsid w:val="00C63AA2"/>
    <w:rsid w:val="00C65422"/>
    <w:rsid w:val="00C6599B"/>
    <w:rsid w:val="00C76F04"/>
    <w:rsid w:val="00C804C3"/>
    <w:rsid w:val="00C807DB"/>
    <w:rsid w:val="00C81268"/>
    <w:rsid w:val="00C83771"/>
    <w:rsid w:val="00C87851"/>
    <w:rsid w:val="00C9025C"/>
    <w:rsid w:val="00C93744"/>
    <w:rsid w:val="00C958F3"/>
    <w:rsid w:val="00CA1AB4"/>
    <w:rsid w:val="00CA3A27"/>
    <w:rsid w:val="00CA517A"/>
    <w:rsid w:val="00CA722E"/>
    <w:rsid w:val="00CB0D58"/>
    <w:rsid w:val="00CB29E4"/>
    <w:rsid w:val="00CB54AD"/>
    <w:rsid w:val="00CB5BF2"/>
    <w:rsid w:val="00CC15A4"/>
    <w:rsid w:val="00CC28A9"/>
    <w:rsid w:val="00CC6580"/>
    <w:rsid w:val="00CC6FE0"/>
    <w:rsid w:val="00CD26DE"/>
    <w:rsid w:val="00CD554E"/>
    <w:rsid w:val="00CE0386"/>
    <w:rsid w:val="00CF0031"/>
    <w:rsid w:val="00CF0C99"/>
    <w:rsid w:val="00CF46D3"/>
    <w:rsid w:val="00CF61F2"/>
    <w:rsid w:val="00D076FD"/>
    <w:rsid w:val="00D1118A"/>
    <w:rsid w:val="00D12CB8"/>
    <w:rsid w:val="00D16CE2"/>
    <w:rsid w:val="00D21245"/>
    <w:rsid w:val="00D21C9F"/>
    <w:rsid w:val="00D22BEB"/>
    <w:rsid w:val="00D26BF2"/>
    <w:rsid w:val="00D33C1E"/>
    <w:rsid w:val="00D37444"/>
    <w:rsid w:val="00D37A5A"/>
    <w:rsid w:val="00D402C2"/>
    <w:rsid w:val="00D45EB6"/>
    <w:rsid w:val="00D520E4"/>
    <w:rsid w:val="00D54860"/>
    <w:rsid w:val="00D54AA0"/>
    <w:rsid w:val="00D54F08"/>
    <w:rsid w:val="00D55B87"/>
    <w:rsid w:val="00D567FB"/>
    <w:rsid w:val="00D57DFA"/>
    <w:rsid w:val="00D6215E"/>
    <w:rsid w:val="00D66E54"/>
    <w:rsid w:val="00D70DBC"/>
    <w:rsid w:val="00D71A6D"/>
    <w:rsid w:val="00D7306B"/>
    <w:rsid w:val="00D73201"/>
    <w:rsid w:val="00D73647"/>
    <w:rsid w:val="00D8307F"/>
    <w:rsid w:val="00D8465F"/>
    <w:rsid w:val="00D85B5D"/>
    <w:rsid w:val="00D90F93"/>
    <w:rsid w:val="00D91F54"/>
    <w:rsid w:val="00D93835"/>
    <w:rsid w:val="00D93AE3"/>
    <w:rsid w:val="00D9442D"/>
    <w:rsid w:val="00D94F8B"/>
    <w:rsid w:val="00D95235"/>
    <w:rsid w:val="00D9763F"/>
    <w:rsid w:val="00DA66C3"/>
    <w:rsid w:val="00DB5E7F"/>
    <w:rsid w:val="00DC176A"/>
    <w:rsid w:val="00DC687B"/>
    <w:rsid w:val="00DD0C2C"/>
    <w:rsid w:val="00DD0F6E"/>
    <w:rsid w:val="00DD14A6"/>
    <w:rsid w:val="00DD1C07"/>
    <w:rsid w:val="00DD3907"/>
    <w:rsid w:val="00DD4BF9"/>
    <w:rsid w:val="00DE0E3E"/>
    <w:rsid w:val="00DE2633"/>
    <w:rsid w:val="00DF1AE6"/>
    <w:rsid w:val="00E038CE"/>
    <w:rsid w:val="00E03F11"/>
    <w:rsid w:val="00E0463C"/>
    <w:rsid w:val="00E077C9"/>
    <w:rsid w:val="00E11C02"/>
    <w:rsid w:val="00E21128"/>
    <w:rsid w:val="00E21AB4"/>
    <w:rsid w:val="00E224FC"/>
    <w:rsid w:val="00E31F57"/>
    <w:rsid w:val="00E32C2E"/>
    <w:rsid w:val="00E336C5"/>
    <w:rsid w:val="00E34241"/>
    <w:rsid w:val="00E34794"/>
    <w:rsid w:val="00E41279"/>
    <w:rsid w:val="00E502C4"/>
    <w:rsid w:val="00E5455B"/>
    <w:rsid w:val="00E556C7"/>
    <w:rsid w:val="00E55ABC"/>
    <w:rsid w:val="00E56168"/>
    <w:rsid w:val="00E57B74"/>
    <w:rsid w:val="00E57FEF"/>
    <w:rsid w:val="00E642B3"/>
    <w:rsid w:val="00E70327"/>
    <w:rsid w:val="00E70C18"/>
    <w:rsid w:val="00E86057"/>
    <w:rsid w:val="00E8629F"/>
    <w:rsid w:val="00E90B54"/>
    <w:rsid w:val="00E96BC6"/>
    <w:rsid w:val="00E97AA9"/>
    <w:rsid w:val="00EA09B1"/>
    <w:rsid w:val="00EA0B7F"/>
    <w:rsid w:val="00EA3C24"/>
    <w:rsid w:val="00EA3D76"/>
    <w:rsid w:val="00EA739C"/>
    <w:rsid w:val="00EB0292"/>
    <w:rsid w:val="00EB61A0"/>
    <w:rsid w:val="00EC0715"/>
    <w:rsid w:val="00EC6A1C"/>
    <w:rsid w:val="00ED5F47"/>
    <w:rsid w:val="00ED7922"/>
    <w:rsid w:val="00EE01EA"/>
    <w:rsid w:val="00EE066A"/>
    <w:rsid w:val="00EE2605"/>
    <w:rsid w:val="00EE3A95"/>
    <w:rsid w:val="00EE5692"/>
    <w:rsid w:val="00EE6221"/>
    <w:rsid w:val="00EE7690"/>
    <w:rsid w:val="00EF011F"/>
    <w:rsid w:val="00EF325F"/>
    <w:rsid w:val="00EF32A7"/>
    <w:rsid w:val="00EF5D8B"/>
    <w:rsid w:val="00EF6BCD"/>
    <w:rsid w:val="00F01416"/>
    <w:rsid w:val="00F030CA"/>
    <w:rsid w:val="00F0557F"/>
    <w:rsid w:val="00F05DFF"/>
    <w:rsid w:val="00F072D8"/>
    <w:rsid w:val="00F10B79"/>
    <w:rsid w:val="00F12D23"/>
    <w:rsid w:val="00F15074"/>
    <w:rsid w:val="00F15855"/>
    <w:rsid w:val="00F1709D"/>
    <w:rsid w:val="00F1745D"/>
    <w:rsid w:val="00F23155"/>
    <w:rsid w:val="00F26554"/>
    <w:rsid w:val="00F30653"/>
    <w:rsid w:val="00F3413D"/>
    <w:rsid w:val="00F37710"/>
    <w:rsid w:val="00F3792F"/>
    <w:rsid w:val="00F421FD"/>
    <w:rsid w:val="00F46E30"/>
    <w:rsid w:val="00F6267E"/>
    <w:rsid w:val="00F63B69"/>
    <w:rsid w:val="00F7184A"/>
    <w:rsid w:val="00F77EB0"/>
    <w:rsid w:val="00F81AC1"/>
    <w:rsid w:val="00F83415"/>
    <w:rsid w:val="00F86974"/>
    <w:rsid w:val="00F90935"/>
    <w:rsid w:val="00F91F8F"/>
    <w:rsid w:val="00FA0215"/>
    <w:rsid w:val="00FA04B9"/>
    <w:rsid w:val="00FA35B4"/>
    <w:rsid w:val="00FA3AE0"/>
    <w:rsid w:val="00FB2CFC"/>
    <w:rsid w:val="00FB560E"/>
    <w:rsid w:val="00FB69E7"/>
    <w:rsid w:val="00FC051F"/>
    <w:rsid w:val="00FC426E"/>
    <w:rsid w:val="00FC5F9D"/>
    <w:rsid w:val="00FD16E0"/>
    <w:rsid w:val="00FD182B"/>
    <w:rsid w:val="00FD446A"/>
    <w:rsid w:val="00FD7A87"/>
    <w:rsid w:val="00FE1522"/>
    <w:rsid w:val="00FE6645"/>
    <w:rsid w:val="00FE6EAD"/>
    <w:rsid w:val="00FF04B3"/>
    <w:rsid w:val="00FF3FF6"/>
    <w:rsid w:val="00FF4C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5952386"/>
  <w15:chartTrackingRefBased/>
  <w15:docId w15:val="{DBEAC9A4-09CA-496C-BD30-A11AFEFDFE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28C6"/>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583627"/>
    <w:pPr>
      <w:numPr>
        <w:numId w:val="40"/>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uiPriority w:val="35"/>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19763D"/>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3.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485</TotalTime>
  <Pages>4</Pages>
  <Words>1481</Words>
  <Characters>8836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47</cp:revision>
  <dcterms:created xsi:type="dcterms:W3CDTF">2020-05-26T02:02:00Z</dcterms:created>
  <dcterms:modified xsi:type="dcterms:W3CDTF">2022-04-25T16:43:00Z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